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B9" w:rsidRPr="00D72BDB" w:rsidRDefault="002923B9" w:rsidP="002923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2BDB">
        <w:rPr>
          <w:rFonts w:ascii="Times New Roman" w:hAnsi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22</w:t>
      </w:r>
      <w:r w:rsidRPr="00D72BDB">
        <w:rPr>
          <w:rFonts w:ascii="Times New Roman" w:hAnsi="Times New Roman"/>
          <w:b/>
          <w:sz w:val="28"/>
          <w:szCs w:val="28"/>
          <w:u w:val="single"/>
          <w:lang w:eastAsia="ru-RU"/>
        </w:rPr>
        <w:t>.12.2020</w:t>
      </w:r>
    </w:p>
    <w:p w:rsidR="002923B9" w:rsidRPr="00D72BDB" w:rsidRDefault="002923B9" w:rsidP="002923B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72BDB">
        <w:rPr>
          <w:rFonts w:ascii="Times New Roman" w:hAnsi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19</w:t>
      </w:r>
      <w:r w:rsidRPr="00D72BDB">
        <w:rPr>
          <w:rFonts w:ascii="Times New Roman" w:hAnsi="Times New Roman"/>
          <w:b/>
          <w:sz w:val="28"/>
          <w:szCs w:val="28"/>
          <w:u w:val="single"/>
          <w:lang w:eastAsia="ru-RU"/>
        </w:rPr>
        <w:t>-ТО-1д</w:t>
      </w:r>
    </w:p>
    <w:p w:rsidR="002923B9" w:rsidRPr="00D72BDB" w:rsidRDefault="002923B9" w:rsidP="002923B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дисциплины</w:t>
      </w:r>
      <w:r w:rsidRPr="00D72BD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4322D">
        <w:rPr>
          <w:rFonts w:ascii="Times New Roman" w:hAnsi="Times New Roman"/>
          <w:b/>
          <w:sz w:val="28"/>
          <w:szCs w:val="28"/>
          <w:u w:val="single"/>
          <w:lang w:eastAsia="ru-RU"/>
        </w:rPr>
        <w:t>Электротехника и электроника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923B9" w:rsidRPr="001A01D9" w:rsidRDefault="002923B9" w:rsidP="002923B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91F62">
        <w:rPr>
          <w:rFonts w:ascii="Times New Roman" w:hAnsi="Times New Roman"/>
          <w:sz w:val="28"/>
          <w:szCs w:val="28"/>
        </w:rPr>
        <w:t>Тема</w:t>
      </w:r>
      <w:r w:rsidRPr="00D72BDB">
        <w:rPr>
          <w:sz w:val="28"/>
          <w:szCs w:val="28"/>
        </w:rPr>
        <w:t xml:space="preserve">: </w:t>
      </w:r>
      <w:r w:rsidRPr="002923B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Практическое занятие </w:t>
      </w:r>
      <w:r w:rsidRPr="002923B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</w:t>
      </w:r>
      <w:r w:rsidRPr="002923B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Пуск в ход и снятие рабочих характеристик трё</w:t>
      </w:r>
      <w:r w:rsidRPr="002923B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хфазного асинхронного двигателя»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( 2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урока)</w:t>
      </w:r>
    </w:p>
    <w:p w:rsidR="002923B9" w:rsidRDefault="002923B9" w:rsidP="002923B9">
      <w:pPr>
        <w:spacing w:after="0" w:line="360" w:lineRule="auto"/>
        <w:ind w:right="15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2923B9" w:rsidRPr="002923B9" w:rsidRDefault="002923B9" w:rsidP="002923B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Регулирование частоты вращения асинхронных двигателей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Регулирование частоты вращения асинхронных двигателей может производиться способом воздействия на него со стороны статора или со стороны ротора.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воздействии со стороны статора существуют следующие основные способы регулирования частоты вращения: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введением и регулировкой сопротивления (резисторов) в цепи статора (реостатное регулирование);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изменением числа пар полюсов;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изменением частоты питающего напряжения.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воздействии со стороны ротора регулирование частоты вращения производится: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введением и регулировкой активного сопротивления (резисторов) в цепи ротора (реостатное регулирование);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введением в цепь ротора добавочной э. д. с. с частотой, равной основной э. д. с. ротора.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Из указанных практическое применение нашли способы регулировки: реостатный, изменением </w:t>
      </w:r>
      <w:proofErr w:type="spell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полюсности</w:t>
      </w:r>
      <w:proofErr w:type="spell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обмотки статора и изменением частоты в питающей сети.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Рабочие характеристики асинхронного двигателя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Рабочие характеристики асинхронного двигателя представляют собой графически выраженные зависимости частоты вращения n2, КПД η, полезного момента (момента на валу) М2, коэффициента мощности </w:t>
      </w:r>
      <w:proofErr w:type="spell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cos</w:t>
      </w:r>
      <w:proofErr w:type="spell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φ, и тока статора I1 от полезной мощности Р2 при U1 = </w:t>
      </w:r>
      <w:proofErr w:type="spell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const</w:t>
      </w:r>
      <w:proofErr w:type="spell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f1 = </w:t>
      </w:r>
      <w:proofErr w:type="spell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const</w:t>
      </w:r>
      <w:proofErr w:type="spell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Скоростная характеристика n2 = f(P2). Частота вращения ротора асинхронного двигателя n2 = n1(1 - s</w:t>
      </w:r>
      <w:proofErr w:type="gram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).Скольжение</w:t>
      </w:r>
      <w:proofErr w:type="gram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s = Pэ2/</w:t>
      </w:r>
      <w:proofErr w:type="spell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Pэм</w:t>
      </w:r>
      <w:proofErr w:type="spell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т. е. скольжение асинхронного 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двигателя, а следовательно, и его частота вращения определяются отношением электрических потерь в роторе к электромагнитной мощности. Пренебрегая электрическими потерями в роторе в режиме холостого хода, можно принять Рэ2 = 0, а поэтому s ≈ 0 и n20 ≈ n1.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По мере увеличения нагрузки на валу асинхронного двигателя отношение s = Pэ2/</w:t>
      </w:r>
      <w:proofErr w:type="spell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Pэм</w:t>
      </w:r>
      <w:proofErr w:type="spell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растет, достигая значений 0,01 - 0,08 при номинальной нагрузке. В соответствии с этим зависимость n2 = f(P2) представляет собой кривую, слабо наклоненную к оси абсцисс. Однако при увеличении активного сопротивления ротора двигателя r2' угол наклона этой кривой увеличивается. В этом случае изменения частоты асинхронного двигателя n2 при колебаниях нагрузки Р2 возрастают. Объясняется это тем, что с увеличением r2' возрастают электрические потери в роторе.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33B1CA79" wp14:editId="39ED6797">
            <wp:extent cx="2984500" cy="2363470"/>
            <wp:effectExtent l="0" t="0" r="6350" b="0"/>
            <wp:docPr id="1" name="Рисунок 1" descr="http://konspekta.net/allrefs/baza2/314374364495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nspekta.net/allrefs/baza2/314374364495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Рис. 1. Рабочие характеристики асинхронного двигателя </w:t>
      </w:r>
      <w:proofErr w:type="spell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двигателя</w:t>
      </w:r>
      <w:proofErr w:type="spellEnd"/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923B9" w:rsidRPr="002923B9" w:rsidRDefault="002923B9" w:rsidP="002923B9">
      <w:pPr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Пуск в ход трехфазных асинхронных двигателей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Схемы пуска двигателей в ход должны предусматривать создание большого пускового момента при небольшом пусковом токе и, следовательно, при небольшом падении напряжения при пуске. При этом может требоваться плавный пуск, повышенный пусковой момент и т. д.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практике применяются следующие способы пуска: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непосредственное присоединение к сети — прямой пуск;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· понижение напряжения при пуске;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включение сопротивления в цепь ротора в двигателях с фазовым ротором.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Условия работы асинхронного двигателя в режиме пуска значительно отличаются от условий его работы в нормальном режиме. В режиме пуска в обмотках ротора и статора проходят токи, значительно превышающие токи, протекающие в этих обмотках в номинальном режиме. Длительный ток приводит к перегреву обмоток двигателя и может вызвать сгорание обмоток и аварию двигателя.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того чтобы исключить такие явления, необходимо, с одной стороны, обеспечить ограничение пускового тока двигателя, а с другой стороны, по возможности уменьшить время его разгона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Наиболее часто применяются следующие способы пуска асинхронных двигателей: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прямое включение двигателей с короткозамкнутой обмоткой ротора;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включение двигателя с понижением напряжения, подаваемого на обмотку статора;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пуск в ход с введением сопротивления в фазную обмотку ротора.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Прямое включение 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асинхронного двигателя в сеть является наиболее простым способом пуска двигателя. В то же время в этом случае обмотки статора и ротора двигателя обтекаются большим пусковым током (током короткого замыкания), равным 4—7-кратному значению номинального. Поэтому очень важно, чтобы время пуска двигателя было при этом как можно меньшим.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 всех способов пуска асинхронных двигателей с короткозамкнутой обмоткой ротора при данном способе пуска создается наибольший вращающий момент. Пусковой вращающий момент двигателя опред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еляется при этом по формуле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Поскольку он все же относительно невелик, данный способ пуска применяется для приводов со средними и легкими условиями пуска. Отметим, что в настоящее время все большее распространение получают двигатели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9422"/>
      </w:tblGrid>
      <w:tr w:rsidR="002923B9" w:rsidRPr="002923B9" w:rsidTr="00292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3B9" w:rsidRPr="002923B9" w:rsidRDefault="002923B9" w:rsidP="002923B9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923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3B9" w:rsidRPr="002923B9" w:rsidRDefault="002923B9" w:rsidP="002923B9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923B9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6B1503C" wp14:editId="1203B058">
                  <wp:extent cx="3122930" cy="2320290"/>
                  <wp:effectExtent l="0" t="0" r="1270" b="3810"/>
                  <wp:docPr id="2" name="Рисунок 2" descr="http://konspekta.net/allrefs/baza2/314374364495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konspekta.net/allrefs/baza2/314374364495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930" cy="232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3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    рис. 22. Схемы пуска асинхронного двигателя. </w:t>
            </w:r>
            <w:r w:rsidRPr="002923B9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а </w:t>
            </w:r>
            <w:r w:rsidRPr="002923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— при последовательном включении индуктивного сопротивления </w:t>
            </w:r>
            <w:proofErr w:type="spellStart"/>
            <w:r w:rsidRPr="002923B9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Др</w:t>
            </w:r>
            <w:proofErr w:type="spellEnd"/>
            <w:r w:rsidRPr="002923B9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; б — </w:t>
            </w:r>
            <w:r w:rsidRPr="002923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при включении двигателя через автотрансформатор </w:t>
            </w:r>
            <w:r w:rsidRPr="002923B9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АТ.</w:t>
            </w:r>
          </w:p>
        </w:tc>
      </w:tr>
    </w:tbl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глубоким пазом, которые имеют улучшенные пусковые характеристики. Обладая всеми преимуществами двигателей с короткозамкнутым ротором, они развивают больший пусковой момент при меньшем пусковом токе по сравнению с двигателями обычного исполнения. Это позволяет применять такие двигатели для приводов с более тяжелыми условиями пуска, т. е. со значительными статическими моментами при малых частотах вращения ротора. Необходимо также иметь в виду, что большой ток, потребляемый двигателем, проходит не только по его обмоткам, но и по проводам сети и трансформатору. Поэтому в питающей сети создается падение напряжения, которое в случае пуска мощного двигателя может оказаться весьма значительным. В результате напряжение, подводимое к двигателю в этом режиме, сильно понизится и это вызовет Дополнительное снижение вращающего момента двигателя. Поэтому прямое включение при пуске мощных Двигателей допустимо при наличии достаточно мощной сети, выдерживающей прохождение больших токов без значительного падения напряжения. В современных мощных системах производится прямое включение на сеть двигателей с номинальной мощностью в несколько сотен киловатт.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7"/>
      </w:tblGrid>
      <w:tr w:rsidR="002923B9" w:rsidRPr="002923B9" w:rsidTr="00292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3B9" w:rsidRPr="002923B9" w:rsidRDefault="002923B9" w:rsidP="002923B9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923B9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B5FE431" wp14:editId="49402BE5">
                  <wp:extent cx="2087880" cy="2191385"/>
                  <wp:effectExtent l="0" t="0" r="7620" b="0"/>
                  <wp:docPr id="3" name="Рисунок 3" descr="http://konspekta.net/allrefs/baza2/314374364495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onspekta.net/allrefs/baza2/314374364495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1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B9" w:rsidRPr="002923B9" w:rsidTr="00292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3B9" w:rsidRPr="002923B9" w:rsidRDefault="002923B9" w:rsidP="002923B9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923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Рис. 23. Схема пуска двигателя с переключением обмоток со звезды на треугольник.</w:t>
            </w:r>
          </w:p>
        </w:tc>
      </w:tr>
    </w:tbl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Включение двигателя при пониженном напряжении питающей сети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позволяет уменьшить пусковой ток, потребляемый двигателем. Однако в этом случае снижается и вращающий момент, развиваемый двигателем при пуске, причем это уменьшение происходит пропорционально квадрату подводимого к двигателю напряжения. Такой способ применяется для приводов с легкими условиями пуска.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Практически понижение напряжения достигается включением индуктивного сопротивления последовательно с обмоткой статора двигателя (рис. </w:t>
      </w:r>
      <w:proofErr w:type="gram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22,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</w:t>
      </w:r>
      <w:proofErr w:type="gram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или включением двигателя через автотрансформатор (рис. 22,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 При пус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ке по схеме на рис. 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22</w:t>
      </w:r>
      <w:proofErr w:type="gram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а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вначале замыкают рубильник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1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, 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затем, когда ротор достигает достаточной частоты вращения, замыкают рубильник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2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, 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включая двигатель на полное напряжение сети. При пуске с помощью автотрансформатора (рис. </w:t>
      </w:r>
      <w:proofErr w:type="gram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22,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</w:t>
      </w:r>
      <w:proofErr w:type="gram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 вначале замыкается рубильник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1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, 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затем рубильник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vertAlign w:val="subscript"/>
          <w:lang w:eastAsia="ru-RU"/>
        </w:rPr>
        <w:t>2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 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Применение автотрансформатора позволяет ограничивать пусковой ток в питающей сети при меньшем снижении напряжения питающего двигатель, чем в случае включения индуктивного сопротивления. Следовательно, при этом в меньшей степени понижается пусковой момент двигателя.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 способам пуска с понижением напряжения можно отнести также пуск с переключением обмоток статора со звезды на треугольник (рис. 23). В режиме пуска переключатель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 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находится в положении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1, 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причем обмотка статора 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включена по схеме звезды. После того как ротор достигает установившейся частоты вращения, переключатель необходимо перевести в положение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2 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обмотки статора будут включены по схеме треугольника.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7"/>
      </w:tblGrid>
      <w:tr w:rsidR="002923B9" w:rsidRPr="002923B9" w:rsidTr="00292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3B9" w:rsidRPr="002923B9" w:rsidRDefault="002923B9" w:rsidP="002923B9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923B9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8C1EFD6" wp14:editId="2E725539">
                  <wp:extent cx="2165350" cy="2933065"/>
                  <wp:effectExtent l="0" t="0" r="6350" b="635"/>
                  <wp:docPr id="4" name="Рисунок 4" descr="http://konspekta.net/allrefs/baza2/314374364495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onspekta.net/allrefs/baza2/314374364495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293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B9" w:rsidRPr="002923B9" w:rsidTr="002923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23B9" w:rsidRPr="002923B9" w:rsidRDefault="002923B9" w:rsidP="002923B9">
            <w:pPr>
              <w:spacing w:after="0" w:line="360" w:lineRule="auto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2923B9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Рис. 24. Схемы асинхронных двигателей с введением сопротивлений-резисторов в цепь статора (а) и в цепь ротора (б).</w:t>
            </w:r>
          </w:p>
        </w:tc>
      </w:tr>
    </w:tbl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данном способе пуска фактически понижается величина напряжения, подводимого к каждой фазе двигателя, поскольку при одинаковом напряжении в линии напряжение на фазу в схеме звезды в √3 раз меньше, чем в схеме треугольника. Пусковой ток в сети при соединении обмотки статора звездой понижается в 3 раза по сравнению с соединением статора треугольником. Однако в 3 раза понижается также пусковой момент.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приводов с наиболее тяжелыми условиями пуска следует использовать двигатели с фазной обмоткой ротора.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Введение сопротивления в цепь ротора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позволяет, с одной стороны. ограничить пусковой ток двигателя, а с другой стороны — повысить пусковой момент. Схема включения сопротивлений (резисторов) в цепь ротора двигателя изображена на рис. </w:t>
      </w:r>
      <w:proofErr w:type="gramStart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24,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Подставляя </w:t>
      </w:r>
      <w:proofErr w:type="spellStart"/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s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макс</w:t>
      </w:r>
      <w:proofErr w:type="spell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 1 в формулу (45), можно найти величину дополнительного сопротивления в цепи ротора, при котором пусковой момент для данной характеристики оказывается равным максимальному моменту,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r'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д</w:t>
      </w:r>
      <w:proofErr w:type="spellEnd"/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= 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x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1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- r'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2</w:t>
      </w:r>
      <w:r w:rsidRPr="002923B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+ х'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2</w:t>
      </w: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Последовательно изменяя по мере увеличения частоты вращения двигателя сопротивление в цепи ротора, можно добиться того, чтобы весь процесс пуска проходил при вращающем моменте, близком к максимальному. Это позволяет получить возможно меньшее время пуска двигателя.</w:t>
      </w:r>
    </w:p>
    <w:p w:rsidR="002923B9" w:rsidRPr="002923B9" w:rsidRDefault="002923B9" w:rsidP="002923B9">
      <w:pPr>
        <w:spacing w:after="0" w:line="360" w:lineRule="auto"/>
        <w:ind w:right="15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Контрольные вопросы</w:t>
      </w:r>
    </w:p>
    <w:p w:rsidR="002923B9" w:rsidRPr="002923B9" w:rsidRDefault="002923B9" w:rsidP="002923B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Регулирование частоты вращения асинхронных двигателей</w:t>
      </w:r>
    </w:p>
    <w:p w:rsidR="002923B9" w:rsidRPr="002923B9" w:rsidRDefault="002923B9" w:rsidP="002923B9">
      <w:pPr>
        <w:spacing w:after="0" w:line="36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Рабочие характеристики асинхронного двигателя</w:t>
      </w:r>
    </w:p>
    <w:p w:rsidR="002923B9" w:rsidRDefault="002923B9" w:rsidP="002923B9">
      <w:pPr>
        <w:spacing w:after="0" w:line="360" w:lineRule="auto"/>
        <w:ind w:right="15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  <w:r w:rsidRPr="002923B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Пуск в ход трехфазных асинхронных двигателей</w:t>
      </w:r>
    </w:p>
    <w:p w:rsidR="002923B9" w:rsidRPr="002923B9" w:rsidRDefault="002923B9" w:rsidP="002923B9">
      <w:pPr>
        <w:spacing w:after="0" w:line="360" w:lineRule="auto"/>
        <w:ind w:right="150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Науразов</w:t>
      </w:r>
      <w:proofErr w:type="spellEnd"/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М.А.</w:t>
      </w:r>
    </w:p>
    <w:p w:rsidR="002923B9" w:rsidRPr="002923B9" w:rsidRDefault="002923B9" w:rsidP="002923B9">
      <w:pPr>
        <w:spacing w:after="0" w:line="360" w:lineRule="auto"/>
        <w:ind w:left="150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8747C1" w:rsidRPr="002923B9" w:rsidRDefault="008747C1" w:rsidP="002923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747C1" w:rsidRPr="002923B9" w:rsidSect="002923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9"/>
    <w:rsid w:val="002923B9"/>
    <w:rsid w:val="008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C7F6"/>
  <w15:chartTrackingRefBased/>
  <w15:docId w15:val="{E95BEB7F-3407-46B0-916A-8EA2BB95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3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5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334642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2020-12-20T17:32:00Z</dcterms:created>
  <dcterms:modified xsi:type="dcterms:W3CDTF">2020-12-20T17:42:00Z</dcterms:modified>
</cp:coreProperties>
</file>