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36608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36608F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существительного у герундия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880F89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 </w:t>
      </w:r>
      <w:hyperlink r:id="rId5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неличная форма глагола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выражает название действия и сочетает в себе признаки глагола и существительного. Соответственно, на русский язык герундий обычно переводится существительным или глаголом (чаще неопределенной формой глагола). Формы, подобной английскому герундию, в русском языке нет.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favourite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occupation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Мое любимое занятие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kept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although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felt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ill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 продолжал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хотя  почувствовал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себя плохо.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Герундий, как и причастие настоящего времени, образуется путем прибавления к основе глагола в неопределенной форме окончания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read — read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 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work — work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run — runn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</w:p>
    <w:p w:rsidR="00C962DB" w:rsidRPr="00470FB6" w:rsidRDefault="00413BCF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Особенности прибавления окончания -</w:t>
        </w:r>
        <w:proofErr w:type="spellStart"/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ing</w:t>
        </w:r>
        <w:proofErr w:type="spellEnd"/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форма образуется при помощи частицы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ставится перед герундием: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Ему нравится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best thing for you is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not smoking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Запомните, что герундий обладает свойствами глагола и существительного.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герундия на русский язык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формы, аналогичной герундию, в русском языке нет, то переводить герундий можно по-разному. Обратите внимание на данные ниже предложения и их перевод на русский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learn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Чтение помогает вам изучать английский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a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Ей доставляет удовольствие водить машину.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entered the room without saying «hello».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комнату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«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».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remember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final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— Вы помните, как вы сдавали выпускной экзамен?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Thank you for coming.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имеет простую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перфектную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формы, а также может употребляться в активном и </w:t>
      </w:r>
      <w:hyperlink r:id="rId7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пассивном залоге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0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903"/>
        <w:gridCol w:w="4160"/>
      </w:tblGrid>
      <w:tr w:rsidR="00C962DB" w:rsidRPr="00470FB6" w:rsidTr="00C962DB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герундия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(Активный залог)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(Пассивный залог)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Indefinite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writing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Indefinite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or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происходит одновременно с действием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telling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 рассказывать сказки (простая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told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любит, чтобы ему рассказывали сказки (простая форма в пассивном залоге).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Перфектная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предшествует действию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гордится?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famous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person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поговорил с этим знаменитым человеком (перфектная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с ним поговорили (перфектная форма в пассивном залоге).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Герундий. Употребление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герундий обладает свойствами существительного и глагола, то он может употребляться в роли любого члена предложения (кроме простого сказуемого).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в роли подлежащего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подлежащего герундий употребляется без предлога, на русский язык чаще всего переводится либо существительным, либо инфинитивом.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lung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cancer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Курение вызывает рак легких.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Hunting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tigers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dangerous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Охотиться на тигров опасно.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как часть составного сказуемого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составного именного сказуемого герундий следует за глаголом-связкой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д.).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подлежащее обозначает предмет, который не может сам осуществлять действие, передаваемое герундием. В противном случае это уже не герундий, а глагол в длительной форме 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lectures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 посещает лекции.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предложении подлежащее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действие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герундий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глагол в форме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предложения, где герундий является частью составного 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One of his duties is attending lectures.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обязанностей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посещать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.</w:t>
      </w:r>
      <w:proofErr w:type="gramEnd"/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My hobby is reading.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хобби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после глаголов в роли прямого дополнения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прямого дополнения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(без предлога) после одних глаголов может употребляться только герундий, после других — только </w:t>
      </w:r>
      <w:hyperlink r:id="rId8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инфинитив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некоторых допускается употребление и инфинитива, и герундия.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Глаголы, после которых употребляется только герундий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глаголы, после которых употребляется только герундий! Некоторые из этих глаголов являются фразовыми.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admit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(признавать),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advise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(советовать),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avoid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(избегать),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burst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out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(разразиться),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delay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(задерживать),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deny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(отрицать),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dislike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нравиться),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enjoy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(получать удовольствие),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escape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(вырваться, избавиться),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finish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(закончить),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forgive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(прощать),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give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(отказываться, бросать),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keep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mention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(возражать — только в вопросах и отрицаниях),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(скучать),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off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(отложить),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postpone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(откладывать),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recommend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(рекомендовать),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suggest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understand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(понимать).</w:t>
      </w:r>
    </w:p>
    <w:p w:rsidR="00C962DB" w:rsidRPr="00470FB6" w:rsidRDefault="00413BCF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Список глаголов, после которых употребляется только герундий</w:t>
        </w:r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люблю ждать автобусы.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avoided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избегала разговаривать со своим босом.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We’ve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finished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holiday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Мы закончили подготовку к празднику.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early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возражаю против того, чтобы прийти пораньше.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She burst out crying.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расплакалась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When will you give up smoking?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бросишь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kept on asking for money.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денег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translation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отложить выполнение этого перевода.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help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 be worth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it’s no use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не, нельзя не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couldn’t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falling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не могла не влюбиться в него.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терпеть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терпеть, когда он курит в комнате.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стоить чего-либо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place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visiting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Это место стоит посетить.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it’s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use —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It’s no use trying to escape.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пытаться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сбежать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глаголом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герундий используется в подобных сочетаниях:</w:t>
      </w:r>
    </w:p>
    <w:p w:rsidR="00C962DB" w:rsidRPr="00470FB6" w:rsidRDefault="00C962DB" w:rsidP="00C962D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fishing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рыбалку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dancing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танцевать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shopping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за покупками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swimming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заниматься плаванием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прогулку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Глаголы, после которых употребляется как герундий, так и инфинитив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глаголы, после которых может употребляться как герундий, так и инфинитив. При этом смысл предложений или не меняется совсем (либо меняется незначительно), или предложения передают разный смысл.</w:t>
      </w:r>
    </w:p>
    <w:p w:rsidR="00C962DB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,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которых следует как герундий, так и инфинитив. Разница в значениях незначительная или совсем отсутствует: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begin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выносить, 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continue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hate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ненавидеть,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(нравиться, 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love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prefer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(предпочитать),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propose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start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like travelling. (= I like to travel.)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путешествовать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She began reading. (= She began to read.)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hyperlink r:id="rId10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Подробнее об этом</w:t>
        </w:r>
      </w:hyperlink>
    </w:p>
    <w:p w:rsidR="00470FB6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 после которых может употребляться как герундий, так и инфинитив, но с существенной разницей в значениях: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(забывать),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regret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(сожалеть),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remember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(помнить, вспоминать),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stop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останавливаться),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try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(пытаться),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quit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бросать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перестали говорить.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остановились, чтобы поговорить.</w:t>
      </w: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</w:p>
    <w:p w:rsidR="00413BCF" w:rsidRPr="00413BCF" w:rsidRDefault="00470FB6" w:rsidP="00413BCF">
      <w:pPr>
        <w:pStyle w:val="a3"/>
        <w:spacing w:after="0"/>
        <w:rPr>
          <w:rFonts w:eastAsia="Times New Roman"/>
          <w:color w:val="555555"/>
          <w:sz w:val="28"/>
          <w:szCs w:val="28"/>
          <w:lang w:eastAsia="ru-RU"/>
        </w:rPr>
      </w:pPr>
      <w:r w:rsidRPr="00413BCF">
        <w:rPr>
          <w:rFonts w:eastAsia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r w:rsidR="00413BCF" w:rsidRPr="00413BCF">
        <w:rPr>
          <w:rFonts w:eastAsia="Times New Roman"/>
          <w:color w:val="0000FF"/>
          <w:sz w:val="28"/>
          <w:szCs w:val="28"/>
          <w:bdr w:val="none" w:sz="0" w:space="0" w:color="auto" w:frame="1"/>
          <w:lang w:eastAsia="ru-RU"/>
        </w:rPr>
        <w:t>Составьте предложения, выбрав начало из первого столбца и окончание – из второго.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is interested                             a) drinking alcohol.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would like                                     b) to seeing my daughter.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You should give up                         c) being ill.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 really enjoy                               d) laughing at her.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I’m</w:t>
      </w:r>
      <w:proofErr w:type="gramEnd"/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looking forward                          e) to living in a dirty house.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>He is used                                      f) talking to drunk people.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pretended                                g) swimming in the sea.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Pamela is good                               h) to have a cup of coffee.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</w:t>
      </w:r>
      <w:proofErr w:type="gramStart"/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couldn’t</w:t>
      </w:r>
      <w:proofErr w:type="gramEnd"/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help                                  </w:t>
      </w:r>
      <w:proofErr w:type="spellStart"/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spellEnd"/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) in surfing the Internet.</w:t>
      </w:r>
    </w:p>
    <w:p w:rsidR="00413BCF" w:rsidRPr="00413BCF" w:rsidRDefault="00413BCF" w:rsidP="00413BCF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413BC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avoids                                     j) at riding a horse</w:t>
      </w:r>
    </w:p>
    <w:p w:rsidR="00470FB6" w:rsidRPr="00413BCF" w:rsidRDefault="00470FB6" w:rsidP="00413BC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13BCF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13BCF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13BCF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80F89" w:rsidRPr="00413BCF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80F89" w:rsidRPr="00413BCF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М.М.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Джаутханова</w:t>
      </w:r>
      <w:proofErr w:type="spellEnd"/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146CD" w:rsidRPr="00470FB6" w:rsidRDefault="005146CD" w:rsidP="005146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146CD" w:rsidRPr="004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5E1"/>
    <w:multiLevelType w:val="multilevel"/>
    <w:tmpl w:val="F81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82B"/>
    <w:multiLevelType w:val="multilevel"/>
    <w:tmpl w:val="CAF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05A0B"/>
    <w:multiLevelType w:val="multilevel"/>
    <w:tmpl w:val="200C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67ED6"/>
    <w:multiLevelType w:val="multilevel"/>
    <w:tmpl w:val="3BE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6C"/>
    <w:rsid w:val="002C576C"/>
    <w:rsid w:val="0036608F"/>
    <w:rsid w:val="00413BCF"/>
    <w:rsid w:val="00470FB6"/>
    <w:rsid w:val="005146CD"/>
    <w:rsid w:val="006B5C59"/>
    <w:rsid w:val="00880F89"/>
    <w:rsid w:val="00BB47DD"/>
    <w:rsid w:val="00C962DB"/>
    <w:rsid w:val="00E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450C-95C4-4947-8BB0-2EC71F6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8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2088188444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424037396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213927671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517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357438128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</w:divsChild>
    </w:div>
    <w:div w:id="131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fe.ru/reference/verbs/infin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fe.ru/reference/verbs/voice/passive-vo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/ending-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efe.ru/reference/verbs" TargetMode="External"/><Relationship Id="rId10" Type="http://schemas.openxmlformats.org/officeDocument/2006/relationships/hyperlink" Target="https://myefe.ru/reference/verbs/gerund/verbs-followed-by-gerund-or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reference/verbs/gerund/verbs-followed-by-ger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14</cp:revision>
  <dcterms:created xsi:type="dcterms:W3CDTF">2020-12-16T11:22:00Z</dcterms:created>
  <dcterms:modified xsi:type="dcterms:W3CDTF">2020-12-21T06:33:00Z</dcterms:modified>
</cp:coreProperties>
</file>