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7B" w:rsidRPr="00B46473" w:rsidRDefault="0065307B" w:rsidP="00653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73">
        <w:rPr>
          <w:rFonts w:ascii="Times New Roman" w:hAnsi="Times New Roman" w:cs="Times New Roman"/>
          <w:b/>
          <w:sz w:val="28"/>
          <w:szCs w:val="28"/>
        </w:rPr>
        <w:t>18.12.2020</w:t>
      </w:r>
    </w:p>
    <w:p w:rsidR="0065307B" w:rsidRPr="00B46473" w:rsidRDefault="0065307B" w:rsidP="00653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73">
        <w:rPr>
          <w:rFonts w:ascii="Times New Roman" w:hAnsi="Times New Roman" w:cs="Times New Roman"/>
          <w:b/>
          <w:sz w:val="28"/>
          <w:szCs w:val="28"/>
        </w:rPr>
        <w:t>18 ПСО-3Д</w:t>
      </w:r>
      <w:bookmarkStart w:id="0" w:name="_GoBack"/>
      <w:bookmarkEnd w:id="0"/>
    </w:p>
    <w:p w:rsidR="0065307B" w:rsidRPr="00B46473" w:rsidRDefault="0065307B" w:rsidP="00653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73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</w:p>
    <w:p w:rsidR="0065307B" w:rsidRPr="00B46473" w:rsidRDefault="0065307B" w:rsidP="00653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73"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 w:rsidR="00B46473" w:rsidRPr="00B46473">
        <w:rPr>
          <w:rFonts w:ascii="Times New Roman" w:hAnsi="Times New Roman" w:cs="Times New Roman"/>
          <w:b/>
          <w:sz w:val="28"/>
          <w:szCs w:val="28"/>
        </w:rPr>
        <w:t>62</w:t>
      </w:r>
    </w:p>
    <w:p w:rsidR="0065307B" w:rsidRPr="0065307B" w:rsidRDefault="0065307B" w:rsidP="0065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473">
        <w:rPr>
          <w:rFonts w:ascii="Times New Roman" w:hAnsi="Times New Roman" w:cs="Times New Roman"/>
          <w:b/>
          <w:sz w:val="28"/>
          <w:szCs w:val="28"/>
        </w:rPr>
        <w:t>Тема: Иски к иностранным государствам. Дипломатический иммунитет</w:t>
      </w:r>
    </w:p>
    <w:p w:rsidR="0065307B" w:rsidRPr="0065307B" w:rsidRDefault="0065307B" w:rsidP="0065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7B" w:rsidRPr="0065307B" w:rsidRDefault="0065307B" w:rsidP="0065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7B" w:rsidRPr="0065307B" w:rsidRDefault="0065307B" w:rsidP="0065307B">
      <w:pPr>
        <w:shd w:val="clear" w:color="auto" w:fill="FFFFFF"/>
        <w:spacing w:after="144" w:line="263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30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Гражданский процессуальный кодекс Российской Федерации" от 14.11.2002 N 138-ФЗ (ред. от 08.12.2020)</w:t>
      </w:r>
    </w:p>
    <w:p w:rsidR="0065307B" w:rsidRPr="0065307B" w:rsidRDefault="0065307B" w:rsidP="00B46473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30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ГПК РФ Статья 401. Иски к международным организациям. Дипломатический иммунитет</w:t>
      </w:r>
      <w:r w:rsidR="00B464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5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5" w:anchor="dst100010" w:history="1">
        <w:r w:rsidRPr="00B46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5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29.12.2015 N 393-ФЗ)</w:t>
      </w:r>
      <w:r w:rsidR="00B464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5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текст в предыдущей редакции)</w:t>
      </w:r>
    </w:p>
    <w:p w:rsidR="0065307B" w:rsidRPr="0065307B" w:rsidRDefault="0065307B" w:rsidP="006530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307B" w:rsidRPr="0065307B" w:rsidRDefault="0065307B" w:rsidP="00B46473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2406"/>
      <w:bookmarkEnd w:id="1"/>
      <w:r w:rsidRPr="0065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Международные организации подлежат юрисдикции судов в Российской Федерации по гражданским делам в пределах, определенных международными договорами Российской Федерации, федеральными законами.</w:t>
      </w:r>
    </w:p>
    <w:p w:rsidR="0065307B" w:rsidRPr="0065307B" w:rsidRDefault="0065307B" w:rsidP="00B46473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2407"/>
      <w:bookmarkEnd w:id="2"/>
      <w:r w:rsidRPr="0065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Отказ от судебного иммунитета должен быть произведен в порядке, предусмотренном правилами международной организации. В этом случае суд рассматривает дело в порядке, установленном настоящим Кодексом.</w:t>
      </w:r>
    </w:p>
    <w:p w:rsidR="0065307B" w:rsidRPr="0065307B" w:rsidRDefault="0065307B" w:rsidP="00B46473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2408"/>
      <w:bookmarkEnd w:id="3"/>
      <w:r w:rsidRPr="0065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Аккредитованные в Российской Федерации дипломатические представители иностранных государств, другие лица, указанные в международных договорах Российской Федерации, федеральных законах, подлежат юрисдикции судов в Российской Федерации по гражданским делам в пределах, определенных общепризнанными принципами и нормами международного права или международными договорами Российской Федерации.</w:t>
      </w:r>
    </w:p>
    <w:p w:rsidR="0065307B" w:rsidRPr="0065307B" w:rsidRDefault="0065307B" w:rsidP="00B46473">
      <w:pPr>
        <w:shd w:val="clear" w:color="auto" w:fill="FFFFFF"/>
        <w:spacing w:after="0" w:line="276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30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5307B" w:rsidRPr="0065307B" w:rsidRDefault="0065307B" w:rsidP="00B464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07B" w:rsidRP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7B">
        <w:rPr>
          <w:rFonts w:ascii="Times New Roman" w:hAnsi="Times New Roman" w:cs="Times New Roman"/>
          <w:b/>
          <w:sz w:val="28"/>
          <w:szCs w:val="28"/>
        </w:rPr>
        <w:t xml:space="preserve">Международное право знает три вида </w:t>
      </w:r>
      <w:proofErr w:type="spellStart"/>
      <w:r w:rsidRPr="0065307B">
        <w:rPr>
          <w:rFonts w:ascii="Times New Roman" w:hAnsi="Times New Roman" w:cs="Times New Roman"/>
          <w:b/>
          <w:sz w:val="28"/>
          <w:szCs w:val="28"/>
        </w:rPr>
        <w:t>юрисдикционного</w:t>
      </w:r>
      <w:proofErr w:type="spellEnd"/>
      <w:r w:rsidRPr="0065307B">
        <w:rPr>
          <w:rFonts w:ascii="Times New Roman" w:hAnsi="Times New Roman" w:cs="Times New Roman"/>
          <w:b/>
          <w:sz w:val="28"/>
          <w:szCs w:val="28"/>
        </w:rPr>
        <w:t xml:space="preserve"> иммунитета государства. </w:t>
      </w:r>
    </w:p>
    <w:p w:rsid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 xml:space="preserve">Во-первых, судебный иммунитет, провозглашающий неподсудность одного государства судебному органу другого государства. </w:t>
      </w:r>
    </w:p>
    <w:p w:rsid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 xml:space="preserve">Во-вторых, иммунитет от предварительных мер, связанных с обеспечением иска. </w:t>
      </w:r>
    </w:p>
    <w:p w:rsidR="0065307B" w:rsidRP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>В-третьих, иммунитет от исполнительной деятельности, которая направлена на принудительную реализацию судебных правоприменительных актов.</w:t>
      </w:r>
    </w:p>
    <w:p w:rsidR="0065307B" w:rsidRP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 xml:space="preserve">Все три вида </w:t>
      </w:r>
      <w:proofErr w:type="spellStart"/>
      <w:r w:rsidRPr="0065307B">
        <w:rPr>
          <w:rFonts w:ascii="Times New Roman" w:hAnsi="Times New Roman" w:cs="Times New Roman"/>
          <w:sz w:val="28"/>
          <w:szCs w:val="28"/>
        </w:rPr>
        <w:t>юрисдикционного</w:t>
      </w:r>
      <w:proofErr w:type="spellEnd"/>
      <w:r w:rsidRPr="0065307B">
        <w:rPr>
          <w:rFonts w:ascii="Times New Roman" w:hAnsi="Times New Roman" w:cs="Times New Roman"/>
          <w:sz w:val="28"/>
          <w:szCs w:val="28"/>
        </w:rPr>
        <w:t xml:space="preserve"> иммунитета отражены в ч. 1 ст. 401 ГПК, согласно которой предъявление в суде РФ иска к иностранному государству, </w:t>
      </w:r>
      <w:r w:rsidRPr="0065307B">
        <w:rPr>
          <w:rFonts w:ascii="Times New Roman" w:hAnsi="Times New Roman" w:cs="Times New Roman"/>
          <w:sz w:val="28"/>
          <w:szCs w:val="28"/>
        </w:rPr>
        <w:lastRenderedPageBreak/>
        <w:t>привлечение иностранного государства к участию в деле в качестве ответчика или третьего лица, наложение ареста на имущество, принадлежащее иностранному государству и находящееся на территории РФ, и принятие по отношению к этому имуществу иных мер по обеспечению иска, обращение взыскания на это имущество в порядке исполнения решений суда допускается только с согласия компетентных органов соответствующего государства, если иное не предусмотрено международным договором РФ или федеральным законом.</w:t>
      </w:r>
    </w:p>
    <w:p w:rsid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 xml:space="preserve">Другими словами, ГПК по-прежнему, так же как ГПК РСФСР 1964 г., придерживается принципа абсолютного иммунитета иностранного государства как автономного политического суверена, что не означает отказа заинтересованным лицам в правосудии, поскольку они могут заявлять иски, если против этого не возражает иностранное государство (Д. А. Фурсов). </w:t>
      </w:r>
    </w:p>
    <w:p w:rsidR="0065307B" w:rsidRP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07B">
        <w:rPr>
          <w:rFonts w:ascii="Times New Roman" w:hAnsi="Times New Roman" w:cs="Times New Roman"/>
          <w:b/>
          <w:sz w:val="28"/>
          <w:szCs w:val="28"/>
        </w:rPr>
        <w:t xml:space="preserve">Для сравнения: </w:t>
      </w:r>
    </w:p>
    <w:p w:rsid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 xml:space="preserve">в новом АПК закреплена концепция ограниченного (функционального) иммунитета, имеющая место в некоторых странах Западной Европы (Австрия, Бельгия, Швейцария и др.), участвующих в Европейской конвенции об иммунитете государств от 16 мая 1972 г., к которой Россия пока не присоединилась. </w:t>
      </w:r>
    </w:p>
    <w:p w:rsidR="0065307B" w:rsidRP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>Суть данной концепции состоит в том, что иностранное государство пользуется иммунитетом только в тех случаях, когда оно выступает носителем государственной власти, но не субъектом частных коммерческих отношений в сфере экономического оборота.</w:t>
      </w:r>
    </w:p>
    <w:p w:rsidR="0065307B" w:rsidRP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>Международные организации подлежат юрисдикции судов в Российской Федерации по гражданским делам в пределах, определенных международными договорами РФ, а также федеральными законами. Среди подобных договоров можно назвать Соглашение между Правительством Российской Федерации и Организацией экономического сотрудничества и развития о привилегиях и иммунитете Организации в Российской Федерации от 8 июня 1994 г.</w:t>
      </w:r>
    </w:p>
    <w:p w:rsidR="0065307B" w:rsidRP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>Аккредитованные в России дипломатические представители иностранных государств, другие лица, указанные в международных договорах РФ или федеральных законах, не подпадают под юрисдикцию судов в Российской Федерации по гражданским делам в границах, установленных нормами международного права либо международными договорами РФ. В частности, Венской конвенцией о дипломатических сношениях от 18 апреля 1961 г. предусматривается, что дипломаты пользуются иммунитетом от уголовной, гражданской и административной юрисдикции государства пребывания. Однако дипломатический иммунитет не защищает:</w:t>
      </w:r>
    </w:p>
    <w:p w:rsidR="0065307B" w:rsidRPr="0065307B" w:rsidRDefault="0065307B" w:rsidP="00B464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lastRenderedPageBreak/>
        <w:t>– от вещных исков, относящихся к частному недвижимому имуществу, находящемуся на территории государства пребывания, если только речь не идет о его владении дипломатическим агентом от имени аккредитующего государства для целей представительства;</w:t>
      </w:r>
    </w:p>
    <w:p w:rsidR="0065307B" w:rsidRPr="0065307B" w:rsidRDefault="0065307B" w:rsidP="00B464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 xml:space="preserve">– исков, вытекающих из отношений наследования, если дипломатический агент, будучи исполнителем завещания, попечителем над наследственным имуществом, наследником или </w:t>
      </w:r>
      <w:proofErr w:type="spellStart"/>
      <w:r w:rsidRPr="0065307B">
        <w:rPr>
          <w:rFonts w:ascii="Times New Roman" w:hAnsi="Times New Roman" w:cs="Times New Roman"/>
          <w:sz w:val="28"/>
          <w:szCs w:val="28"/>
        </w:rPr>
        <w:t>отказополучателем</w:t>
      </w:r>
      <w:proofErr w:type="spellEnd"/>
      <w:r w:rsidRPr="0065307B">
        <w:rPr>
          <w:rFonts w:ascii="Times New Roman" w:hAnsi="Times New Roman" w:cs="Times New Roman"/>
          <w:sz w:val="28"/>
          <w:szCs w:val="28"/>
        </w:rPr>
        <w:t>, действует как частное лицо;</w:t>
      </w:r>
    </w:p>
    <w:p w:rsidR="0065307B" w:rsidRPr="0065307B" w:rsidRDefault="0065307B" w:rsidP="00B464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>– исков, связанных с профессиональной либо коммерческой деятельностью, которая производится дипломатическим агентом в государстве пребывания за пределами собственных официальных функций.</w:t>
      </w:r>
    </w:p>
    <w:p w:rsidR="0065307B" w:rsidRPr="0065307B" w:rsidRDefault="0065307B" w:rsidP="00B464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>Консульский иммунитет зафиксирован Венской конвенцией о консульских сношениях от 24 апреля 1963 г. и многочисленными двусторонними консульскими договорами. Иммунитет консульских представителей не тождествен дипломатическому вследствие того, что является ограниченным. На консульских должностных лиц и служащих не распространяется юрисдикция судебных или административных органов государства пребывания лишь в отношении деятельности, которая совершается ими при исполнении консульских функциональных обязанностей. Между тем консульский иммунитет не охватывает собой:</w:t>
      </w:r>
    </w:p>
    <w:p w:rsidR="0065307B" w:rsidRPr="0065307B" w:rsidRDefault="0065307B" w:rsidP="00B464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>– иски, вытекающие из договора, заключенного консульскими должностным лицом или служащим, по которому они прямо или косвенно не приняли на себя обязательства в качестве агента представляемого государства;</w:t>
      </w:r>
    </w:p>
    <w:p w:rsidR="0065307B" w:rsidRPr="0065307B" w:rsidRDefault="0065307B" w:rsidP="00B464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>– иски третьей стороны за вред, причиненный несчастным случаем в государстве пребывания, вызванным дорожно-транспортным средством, судном или самолетом.</w:t>
      </w:r>
    </w:p>
    <w:p w:rsidR="0065307B" w:rsidRP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>Возбуждение дипломатическим агентом или работником консульского учреждения дела в суде государства пребывания лишает таковых права ссылаться на иммунитет от юрисдикции касательно встречных исков, связанных с основным.</w:t>
      </w:r>
    </w:p>
    <w:p w:rsidR="0065307B" w:rsidRPr="0065307B" w:rsidRDefault="0065307B" w:rsidP="00B464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7B">
        <w:rPr>
          <w:rFonts w:ascii="Times New Roman" w:hAnsi="Times New Roman" w:cs="Times New Roman"/>
          <w:sz w:val="28"/>
          <w:szCs w:val="28"/>
        </w:rPr>
        <w:t>Конституционный Суд РФ в Определении от 02.11.20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5307B">
        <w:rPr>
          <w:rFonts w:ascii="Times New Roman" w:hAnsi="Times New Roman" w:cs="Times New Roman"/>
          <w:sz w:val="28"/>
          <w:szCs w:val="28"/>
        </w:rPr>
        <w:t xml:space="preserve"> № 255-0 "По жалобе гражданки Калашниковой Марины Сергеевны на нарушение ее конституционных прав статьей 435 ГПК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5307B">
        <w:rPr>
          <w:rFonts w:ascii="Times New Roman" w:hAnsi="Times New Roman" w:cs="Times New Roman"/>
          <w:sz w:val="28"/>
          <w:szCs w:val="28"/>
        </w:rPr>
        <w:t>" обратил внимание судов общей юрисдикции на недопустимость формального применения принципа абсолютного иммунитета, так как это может привести к нарушению законных прав заинтересованных лиц при обращении за судебной защитой.</w:t>
      </w:r>
    </w:p>
    <w:p w:rsidR="0065307B" w:rsidRPr="0065307B" w:rsidRDefault="0065307B" w:rsidP="0065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7B" w:rsidRPr="0065307B" w:rsidRDefault="0065307B" w:rsidP="0065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473" w:rsidRDefault="00B46473" w:rsidP="00B464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Преподаватель________________________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Алханова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З.С.</w:t>
      </w:r>
    </w:p>
    <w:p w:rsidR="00927194" w:rsidRPr="0065307B" w:rsidRDefault="00B46473" w:rsidP="0065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7194" w:rsidRPr="0065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18C7"/>
    <w:multiLevelType w:val="multilevel"/>
    <w:tmpl w:val="94B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3520"/>
    <w:multiLevelType w:val="multilevel"/>
    <w:tmpl w:val="8A3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339AB"/>
    <w:multiLevelType w:val="multilevel"/>
    <w:tmpl w:val="147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78"/>
    <w:rsid w:val="00116D78"/>
    <w:rsid w:val="00276FAD"/>
    <w:rsid w:val="0065307B"/>
    <w:rsid w:val="00861942"/>
    <w:rsid w:val="00B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5A399-5AE2-4608-821F-DCC4AC58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7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65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07B"/>
    <w:rPr>
      <w:b/>
      <w:bCs/>
    </w:rPr>
  </w:style>
  <w:style w:type="character" w:styleId="a5">
    <w:name w:val="Hyperlink"/>
    <w:basedOn w:val="a0"/>
    <w:uiPriority w:val="99"/>
    <w:unhideWhenUsed/>
    <w:rsid w:val="006530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5307B"/>
  </w:style>
  <w:style w:type="character" w:customStyle="1" w:styleId="hl">
    <w:name w:val="hl"/>
    <w:basedOn w:val="a0"/>
    <w:rsid w:val="0065307B"/>
  </w:style>
  <w:style w:type="character" w:customStyle="1" w:styleId="nobr">
    <w:name w:val="nobr"/>
    <w:basedOn w:val="a0"/>
    <w:rsid w:val="0065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1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1295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2020-12-15T15:54:00Z</dcterms:created>
  <dcterms:modified xsi:type="dcterms:W3CDTF">2020-12-15T16:07:00Z</dcterms:modified>
</cp:coreProperties>
</file>