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39" w:rsidRDefault="00B24039" w:rsidP="00B2403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25.12.2020г.</w:t>
      </w:r>
    </w:p>
    <w:p w:rsidR="00B24039" w:rsidRDefault="00B24039" w:rsidP="00B2403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Группа: 19-ЭК-2Д</w:t>
      </w:r>
    </w:p>
    <w:p w:rsidR="00B24039" w:rsidRDefault="00B24039" w:rsidP="00B2403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Безопасность жизнедеятельности</w:t>
      </w:r>
    </w:p>
    <w:p w:rsidR="00B24039" w:rsidRDefault="00B24039" w:rsidP="00B2403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ПЗ№4 Действия населения при чс военного характера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bookmarkStart w:id="0" w:name="_GoBack"/>
      <w:bookmarkEnd w:id="0"/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Эвакуационные органы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Для непосредственной подготовки и проведения эвакуационных мероприятий заблаговременно (в мирное время) создаются эвакуационные органы.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К эвакуационным органам относятся:</w:t>
      </w:r>
    </w:p>
    <w:p w:rsidR="009A09EE" w:rsidRPr="00001A4C" w:rsidRDefault="009A09EE" w:rsidP="009A09E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эвакуационные комиссии;</w:t>
      </w:r>
    </w:p>
    <w:p w:rsidR="009A09EE" w:rsidRPr="00001A4C" w:rsidRDefault="009A09EE" w:rsidP="009A09E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эвакоприемные комиссии;</w:t>
      </w:r>
    </w:p>
    <w:p w:rsidR="009A09EE" w:rsidRPr="00001A4C" w:rsidRDefault="009A09EE" w:rsidP="009A09E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эвакуационные сборные пункты;</w:t>
      </w:r>
    </w:p>
    <w:p w:rsidR="009A09EE" w:rsidRPr="00001A4C" w:rsidRDefault="009A09EE" w:rsidP="009A09E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эвакуационные промежуточные пункты;</w:t>
      </w:r>
    </w:p>
    <w:p w:rsidR="009A09EE" w:rsidRPr="00001A4C" w:rsidRDefault="009A09EE" w:rsidP="009A09E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эвакуационные приемные пункты;</w:t>
      </w:r>
    </w:p>
    <w:p w:rsidR="009A09EE" w:rsidRPr="00001A4C" w:rsidRDefault="009A09EE" w:rsidP="009A09E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оперативные группы по вывозу и вводу эвакуируемого населения;</w:t>
      </w:r>
    </w:p>
    <w:p w:rsidR="009A09EE" w:rsidRPr="00001A4C" w:rsidRDefault="009A09EE" w:rsidP="009A09EE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группы управления на маршрутах эвакуации населения.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При эвакуации с собой берут: документы; необходимые вещи (одежда); минимальный запас продуктов питания, воды в герметичных контейнерах.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Для экстренной эвакуации из зоны заражения необходимо использовать личный, общественный транспорт или передвигаться пешим порядком. При отсутствии указаний зону заражения покидать самостоятельно в направлении, перпендикулярном движению облака АХОВ, к ближайшему пункту сбора.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Организация инженерной защиты населения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целях защиты населения в экстремальных условиях используются различные способы и средства.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Укрытие населения в защитных сооружениях гражданской обороны (далее ЗС ГО) в сочетании с другими способами защиты (эвакуация, использование индивидуальных средств защиты и д.р.) – обеспечивает эффективное снижение степени поражения населения от возможных поражающих факторов чрезвычайных ситуаций (ЧС) различного характера.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Защитные сооружения гражданской обороны предназначены для защиты населения, техники и материальных ценностей от воздействия современных средств поражения (ССП) противника, а также при ЧС техногенного и природного характера.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Для защиты населения от ССП разработаны различные по конструкции, защитным свойствам и срокам строительства ЗС ГО.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>Убежища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должны обеспечивать защиту укрываемых от расчетного воздействия поражающих факторов ядерного оружия (без учета прямого попадания), бактериальных (биологических) средств (БС), ОВ, а также, при необходимости, от катастрофического затопления, АХОВ, радиоактивных продуктов при разрушении ядерных энергоустановкой, высоких температур и продуктов горения при пожарах.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lastRenderedPageBreak/>
        <w:t>Системы жизнеобеспечения убежищ должны обеспечивать непрерывное пребывание в них расчетного количества укрываемых в течение двух суток (за исключением убежищ, размещаемых в ЗВСР вокруг АС). Воздухоснабжение убежищ, как правило, должно осуществляться по двум режимам: чистой вентиляции (1 режим) и фильтровентиляции (2 режим).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Убежища классифицируются по следующим признакам:</w:t>
      </w:r>
    </w:p>
    <w:p w:rsidR="009A09EE" w:rsidRPr="00001A4C" w:rsidRDefault="009A09EE" w:rsidP="009A09E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защитным свойствам;</w:t>
      </w:r>
    </w:p>
    <w:p w:rsidR="009A09EE" w:rsidRPr="00001A4C" w:rsidRDefault="009A09EE" w:rsidP="009A09E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вместимости;</w:t>
      </w:r>
    </w:p>
    <w:p w:rsidR="009A09EE" w:rsidRPr="00001A4C" w:rsidRDefault="009A09EE" w:rsidP="009A09E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месту расположения;</w:t>
      </w:r>
    </w:p>
    <w:p w:rsidR="009A09EE" w:rsidRPr="00001A4C" w:rsidRDefault="009A09EE" w:rsidP="009A09E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времени возведения;</w:t>
      </w:r>
    </w:p>
    <w:p w:rsidR="009A09EE" w:rsidRPr="00001A4C" w:rsidRDefault="009A09EE" w:rsidP="009A09E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материалу конструкций;</w:t>
      </w:r>
    </w:p>
    <w:p w:rsidR="009A09EE" w:rsidRPr="00001A4C" w:rsidRDefault="009A09EE" w:rsidP="009A09E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обеспечению электроэнергией</w:t>
      </w:r>
    </w:p>
    <w:p w:rsidR="009A09EE" w:rsidRPr="00001A4C" w:rsidRDefault="009A09EE" w:rsidP="009A09E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обеспечению фильтровентиляционным оборудованием;</w:t>
      </w:r>
    </w:p>
    <w:p w:rsidR="009A09EE" w:rsidRPr="00001A4C" w:rsidRDefault="009A09EE" w:rsidP="009A09E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использованию в мирное время.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убежище есть все помещения и коммунальные службы, предусмотренные на случай длительного пребывания в нем людей.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Убежища обычно имеют следующие помещения: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помещение для размещения людей; шлюзные камеры; фильтровентиляционную камеру; помещение для дизельной электростанции; кладовую для продуктов питания; санитарный узел (мужской и женский), состоящий из умывальника и туалета; медицинскую комнату.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Убежище оснащается надежным электропитанием (в том числе и автономным), санитарно — техническими устройствами (водопровод, канализация, отопление), радио и телефонной связью, а также запасами воды, продовольствия и медикаментов. Запас продуктов питания создается из расчета не менее чем надвое суток для каждого укрываемого.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Медицинское обслуживание осуществляют санитарные посты или медицинские пункты.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Убежища обычно имеют не менее двух входов, расположенных в противоположных сторонах (основной и запасный).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>Противорадиационные укрытия (ПРУ)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предназначены для защиты населения от ионизирующих излучений при радиоактивном заражении местности, светового излучения и проникающей радиации (в том числе и от нейтронного потока), а также от непосредственного попадания на кожу и одежду отравляющих веществ и бактериальных средств. ПРУ частично защищают и от ударной волны ядерного взрыва.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ПРУ должны обеспечить защиту укрываемых от воздействия ионизирующих лучей при радиоактивном заражении (загрязнении) местности и допускать непрерывное пребывание в них расчетного количества укрываемых в течении до 2-х суток (за исключением ПРУ размещенных в зоне ВСлР вокруг АС).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ПРУ классифицируются по следующим признакам:</w:t>
      </w:r>
    </w:p>
    <w:p w:rsidR="009A09EE" w:rsidRPr="00001A4C" w:rsidRDefault="009A09EE" w:rsidP="009A09EE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защитным свойствам;</w:t>
      </w:r>
    </w:p>
    <w:p w:rsidR="009A09EE" w:rsidRPr="00001A4C" w:rsidRDefault="009A09EE" w:rsidP="009A09EE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вместимости;</w:t>
      </w:r>
    </w:p>
    <w:p w:rsidR="009A09EE" w:rsidRPr="00001A4C" w:rsidRDefault="009A09EE" w:rsidP="009A09EE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фонду помещений под ПРУ;</w:t>
      </w:r>
    </w:p>
    <w:p w:rsidR="009A09EE" w:rsidRPr="00001A4C" w:rsidRDefault="009A09EE" w:rsidP="009A09EE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 обеспечению вентиляцией.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lastRenderedPageBreak/>
        <w:t>По вместимости ПРУ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делятся: на укрытия вместимостью 5 — 50 чел. — в существующих зданиях и сооружениях; 50 чел. и более — во вновь строящихся зданиях и сооружениях.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По фонду помещений приспосабливаемых под ПРУ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последние делятся на: подвалы и подполья в зданиях и помещениях в цокольных этажах зданий (жилых, производственных и вспомогательных, бытовых и административных); отдельно стоящие сооружения (заглубленные гаражи, погреба, овощехранилища, склады); горные выработки и естественные полости; отдельно стоящие быстровозводимые укрытия (из элементов промышленного изготовления, из лесоматериалов, из местных материалов).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По обеспечению вентиляцией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соответственно ПРУ делятся: с естественной вентиляцией (в укрытиях, оборудуемых в цокольных и первых этажах зданий и в заглубленных укрытиях вместимостью до 50 чел.) и, имеющих вентиляцию с механическим побуждением.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качестве ПРУ используются подвалы зданий, погреба, овощехранилища, подземные горные выработки, помещения жилых и производственных зданий, которые специально оборудованные для размещения укрываемых.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Приспособление указанных помещений (сооружений) под ПРУ включает проведение следующих работ: герметизацию; повышение защитных свойств; устройство простейшей вентиляции.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>Герметизация помещений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это тщательная заделка трещин, щелей и других отверстий в стенах, потолке, в местах примыкания оконных рам и дверных коробок, ввода отопительных и водопроводных труб, подгонка и обивка дверей уплотнением.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Чтобы повысить защитные свойства помещения на перекрытие насыпают слой грунта и делают грунтовую обсыпку снаружи у стен, если они выступают выше поверхности земли. Заделывают оконные и лишние дверные проемы кирпичом или мешками с песком (грунтом). Для усиления несущих конструкций перекрытий, которые могут не выдержать дополнительной нагрузки насыпаемого грунта, необходимо ставить стойки, опоры и т.д.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Вентиляция укрытий осуществляется через приточные и вытяжные короба, в которых установлены противопыльные фильтры.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ПРУ оборудуются места для сидения и сна, санитарный узел, помещения для вентиляции и хранения загрязненной верхней одежды.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При сильном радиоактивном заражении в ПРУ придется находиться несколько суток, поэтому необходимо брать с собой индивидуальные средства защиты органов дыхания и кожи, медикаменты, запас продуктов питания, питьевой воды и предметы первой необходимости.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>Быстровозводимые убежища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представляют собой особый тип защитных сооружений ГО с простыми планировочно-конструктивными решениями, вытекающими из условий эксплуатации их только по прямому назначению, т.е. для защиты людей от расчетных средств поражения.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Главным условиям, определяющим планировочно-конструктивные решения отдельно стоящих быстровозводимых убежищ, является применение для их конструкций изделий и материалов, имеющихся в народном хозяйстве страны, 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lastRenderedPageBreak/>
        <w:t>ибо использование конструкций без существенных изменений способа производства.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Простейшие укрытия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Простейшие укрытия — это сооружения, которые обеспечивают частичную защиту укрываемых от ВУВ, светового излучения и летящих обломков разрушенных задний, а также снижают воздействие проникающей радиации и радиоактивных излучений на РЗМ, а в ряде случаев от непогоды и других неблагоприятных условий.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>К простейшим укрытиям относятся: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траншеи (с одеждой крутости или без нее);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подвалы и подполья (из лесоматериалов и других местных материалов);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землянки, навесы;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цокольные и первые этажи зданий и другие заглубленные помещения.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Открытые щели и траншеи оборудуются в течение первых 12 часов. В следующие 12 часов они перекрываются. В течение 2-х суток такие простейшие укрытия дооборудуются и превращаются в основном в ПРУ, а затем (в отдельных случаях) и в убежища. Вместимость простейших укрытий 10 — 40 чел.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Открытая щель уменьшает вероятность поражения ударной волной, световым излучением и проникающей радиацией в 1,5 — 2 раза, снижает облучение в зоне радиоактивного заражения в 2 — 3 раза.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Перекрытая щель защищает от светового излучения полностью, снижает поражение ударной волны в 2,5 — 3 раза, ослабляет воздействие проникающей радиации и радиоактивного излучения в 200 — 300 раз. Она предохраняет от непосредственного попадания на человека радиоактивных, отравляющих веществ и бактериальных средств.</w:t>
      </w:r>
    </w:p>
    <w:p w:rsidR="009A09EE" w:rsidRPr="00001A4C" w:rsidRDefault="009A09EE" w:rsidP="009A09EE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Правила поведения в защитных сооружениях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Заполнять убежища надо организованно и быстро. Каждый должен знать места их расположения и пути подхода к ним по месту проживания, работы и учебы. Маршруты движения к убежищам обозначаются указателями.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Надо помнить, что на заполнение убежища выделено определенное время (до 20 мин.), после чего входы в убежище закрываются и герметизируются.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ЗС необходимо строго выполнять все распоряжения звена по обслуживанию убежища (укрытия).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убежище (укрытие) люди приходят со средствами индивидуальной защиты, продуктами питания и личными документами.</w:t>
      </w:r>
    </w:p>
    <w:p w:rsidR="009A09EE" w:rsidRPr="00001A4C" w:rsidRDefault="009A09EE" w:rsidP="009A09EE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Тем, кто прибыл с детьми, отводятся отдельные отсеки или специальные места. Престарелых и больных размещают поближе к вентиляционным трубам. Запрещается приводить домашних животных.</w:t>
      </w:r>
    </w:p>
    <w:p w:rsidR="00856B61" w:rsidRDefault="00856B61"/>
    <w:sectPr w:rsidR="0085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CF8"/>
    <w:multiLevelType w:val="multilevel"/>
    <w:tmpl w:val="3868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30756"/>
    <w:multiLevelType w:val="multilevel"/>
    <w:tmpl w:val="1C7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863AD"/>
    <w:multiLevelType w:val="multilevel"/>
    <w:tmpl w:val="4EAA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73"/>
    <w:rsid w:val="00616073"/>
    <w:rsid w:val="00856B61"/>
    <w:rsid w:val="009A09EE"/>
    <w:rsid w:val="00B2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3</cp:revision>
  <dcterms:created xsi:type="dcterms:W3CDTF">2020-12-23T15:55:00Z</dcterms:created>
  <dcterms:modified xsi:type="dcterms:W3CDTF">2020-12-23T16:01:00Z</dcterms:modified>
</cp:coreProperties>
</file>