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E3" w:rsidRDefault="00CA60E3" w:rsidP="00CA6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CA60E3" w:rsidRDefault="00CA60E3" w:rsidP="00CA6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Группа:18-ПСО-</w:t>
      </w:r>
      <w:r>
        <w:rPr>
          <w:rFonts w:ascii="Times New Roman" w:hAnsi="Times New Roman" w:cs="Times New Roman"/>
          <w:b/>
          <w:sz w:val="28"/>
          <w:szCs w:val="28"/>
        </w:rPr>
        <w:t>2д</w:t>
      </w:r>
      <w:bookmarkStart w:id="0" w:name="_GoBack"/>
      <w:bookmarkEnd w:id="0"/>
    </w:p>
    <w:p w:rsidR="00CA60E3" w:rsidRDefault="00CA60E3" w:rsidP="00CA6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Наименования дисциплины :БЖ</w:t>
      </w:r>
    </w:p>
    <w:p w:rsidR="00CA60E3" w:rsidRDefault="00CA60E3" w:rsidP="00CA6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№20. Требования к искусственному производственному освещению.</w:t>
      </w:r>
    </w:p>
    <w:p w:rsidR="00CA60E3" w:rsidRDefault="00CA60E3" w:rsidP="00CA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является естественным условием жизнедеятельности человека. Он оказывает положительное влияние на эмоциональное состояние человека, воздействует на обмен веществ, сердечно - сосудистую, нервно - психическую системы, является важным стимулятором не только зрительного анализатора, но и организма вцелом. Более 80 % всей информации о внешней среде поступает в мозг человека через глаза. Видимое излучение (свет) – участок общего электромагнитного спектра, непосредственно вызывающий зрительное ощущение, состоящий из 7 основных цветов (табл.1). Видимые излучения обычно измеряют в нанометрах (1 нм = 1×10-9 м). Чувствительность глаза максимальна в зеленой области спектра при =554 нм.</w:t>
      </w:r>
      <w:r>
        <w:rPr>
          <w:rFonts w:ascii="Times New Roman" w:hAnsi="Times New Roman" w:cs="Times New Roman"/>
          <w:sz w:val="28"/>
          <w:szCs w:val="28"/>
        </w:rPr>
        <w:sym w:font="Symbol" w:char="F06C"/>
      </w:r>
      <w:r>
        <w:rPr>
          <w:rFonts w:ascii="Times New Roman" w:hAnsi="Times New Roman" w:cs="Times New Roman"/>
          <w:sz w:val="28"/>
          <w:szCs w:val="28"/>
        </w:rPr>
        <w:t xml:space="preserve">длине волны  Таблица 1 Соотношение цветовой гаммы и длин волн Цвет Фиолетовый Синий Голубой Зеленый Желтый Оранжевый Красный Длина волны (нм) 380-440 440-480 480-510 510-550 550-585 585-620 620-780 Рациональное освещение производственных помещений оказывает положительное психофизиологическое воздействие на работающих, способствует повышению производительности труда, обеспечению его безопасности, сохранению высокой работоспособности человека в процессе труда. По данным НИИ труда оптимизация производственного освещения способствует повышению производительности труда на 10 – 20%, уменьшению брака на 20 % и снижению количества несчастных случаев на 30 %. При недостаточной освещенности и плохом качестве освещения состояние зрительных функций находится на низком исходном уровне, повышается утомление зрения в процессе выполнения работы, возрастает опасность травматизма. Установлено, что плохое освещение является причиной примерно 5 % несчастных случаев на предприятиях, а также глазных болезней, головных болей, быстрой утомляемости. С другой стороны, существует опасность отрицательного влияния на органы зрения слишком большой яркости (блесткости) источников света. Следствием этого может явиться временное нарушение зрительных функций глаза (явление слепимости). С целью обеспечения нормальных условий труда и защиты зрения человека в производственных помещениях должно устраиваться освещение, отвечающее требованиям соответствующих норм и правил. 1. Основные показатели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производственного освещения Производственное освещение характеризуется показателями: — количественными: световой поток, сила света, освещенность, яркость, коэффициенты отражения, пропускания и поглощения, объект различения; 3 — качественными: фон, контраст объекта с фоном, видимость, блесткость, показатель ослепленности, показатель дискомфорта, коэффициент пульсации освещенности. Количественные характеристики производственного освещения. Световой поток F — поток лучистой энергии, оцениваемый глазом по световому ощущению. Единицей измерения светового потока является люмен (лм) — световой поток, излучаемый точечным источником света силой в одну канделу, помещенным в вершину телесного угла в один стерадиан. Сила света I — световой поток, отнесенный к телесному углу, и в котором он излучается: , кд, (1)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 xml:space="preserve"> F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I   — телесный угол (в стерадианах) или часть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>где  пространства, заключенного внутри конической поверхности (рис. 1). Телесный угол — часть пространства, которое является объединением всех лучей, выходящих из данной точки (вершины угла) и пересекающих некоторую поверхность (которая называется поверхностью, стягивающей данный телесный угол). Телесный угол измеряется отношением площади той части сферы с центром в вершине угла, которая вырезается этим телесным углом, к квадрату радиуса сферы:  S R , стерадиан. (2)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>2  Единицей измерения силы света является кандела (кд) — сила света точечного источника, испускающего световой поток в один люмен, равномерно распределенный внутри телесного угла в один стерадиан. Освещенность Е характеризует поверхностную плотность светового потока и определяется отношением светового потока F, падающего на поверхность, к ее площади S:  F S, лк. (3)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E  Единицей измерения освещенности является люкс (лк). Один люкс равен освещенности поверхности площадью 1 м 2 , по которой равномерно распределен световой поток в один люмен (1 лк = 1 лм/м2 ). Например, лунный свет дает освещенность 0,25 лк; солнце сквозь облака – 10 000 лк; солнечный свет – 100 000 лк; освещение в офисе – 300-2000 лк; дорожное освещение 10-50 лк. Основное значение для зрения имеет не прямая освещенность какой-то поверхности, а световой поток, отраженный от этой поверхности и попадающий на глазной зрачок, поэтому введено понятие яркости. Яркостью L называется величина, равная отношению силы света, излучаемого элементом поверхности в данном направлении, к площади проекции этой поверхности на плоскость, перпендикулярную к тому же направлению: 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 xml:space="preserve"> Рис. 1. Телесный угол 4 </w:t>
      </w:r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 xml:space="preserve"> cos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S I L , кд/м2 , (4)  — угол к нормали светящейся поверхности.</w:t>
      </w:r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 xml:space="preserve">где  Единицей измерения яркости служит кандела на квадратный метр (кд/м2 ). Например, яркость люминесцентной лампы 0,8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кд/м2 . Яркость хорошо освещённой улицы 2 кд/м2 . Полуденное солнце 150 000 кд/м2 . Cила света свечи – около 1 кд/м2 , а свет маяка может достигать силы 2 000 000 кд/м2 .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способность поверхности отражать падающий на нее световой поток. Определяется как отношение отраженного от поверхности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Коэффициент отражения  к падающему на нее световому потоку F. F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F  . (5)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прошедшего через поверхность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Коэффициент пропускания  к падающему световому потоку F. F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>F  . (6)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поглощения поверхностью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>Коэффициент поглощения  к падающему световому потоку F. F  . (7)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>F Коэффициенты отражения, пропускания и поглощения являются безразмерными и измеряются в долях или процентах. Во всех случаях сохраняется условие:  1. (8)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Объект различения — наименьший рассматриваемый предмет, который необходимо различить в процессе работы. Качественные характеристики производственного освещения. К основным показателям, определяющим условия зрительной работы, относятся качественные характеристики производственного освещения.  (табл. 2).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Фон — это поверхность, прилегающая непосредственно к объекту различения, на которой он рассматривается. Светлость фона характеризуется коэффициентом отражения  Таблица 2 Характеристики фона Фон Светлый Средний Темный  0,2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0,2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0,4 0,4 ≥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Контраст объекта с фоном К характеризуется отношением разности яркостей рассматриваемого объекта и фона к одной из этих яркостей (табл. 3):  , (9)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L ) L ; K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(L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o ф ф o ф ф K  5 где Lo и Lф — соответственно яркости объекта и фона; о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ф — коэффициенты отражения объекта и фона.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и  Таблица 3 Характеристики контраста объекта различения с фоном Контраст Большой Средний Малый  0,2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 0,2 К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0,5 0,5 ≥ К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>К  Объект и фон резко отличаются по яркости Объект и фон заметно отличаются по яркости Объект и фон мало отличаются по яркости  1, при его отсутствии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Когда объект имеет абсолютный контраст, то K   0. Минимальная величина K , при которой глаз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(объект сливается с фоном) K  воспринимает соседние детали, называется порогом контрастной ослепленности глаза. Она зависит от яркости объекта и фона, его углового размера и чёткости контура объекта на фоне. Видимость V — расстояние, на котором наблюдаемый объект становится не различим глазом; зависит от освещенности, размера объекта, его яркости, контраста объекта с фоном, длительности экспозиции (представления). Видимость определяется числом пороговых контрастов в контрасте объекта с фоном:  K Kпор , (10)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V  где K — контраст объекта с фоном; Kпор — пороговый контраст, т.е. наименьший различимый глазом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контраст, при небольшом уменьшении которого объект становится неразличимым. Блескость — повышенная яркость светящихся поверхностей, вызывающая нарушение зрительных функций (ослепленность), т.е. ухудшение видимости объектов. Снижение видимости при появлении в поле зрения блестких источников света называется ослепленностью. Ослепленность приводит к быстрому утомлению и снижению работоспособности. Показатель ослепленности Р — критерий оценки слепящего действия осветительной установки, определяется выражением 3 10 , (11)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(S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P   V1 V2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где S – коэффициент ослепленности, где S  ; V1 и V2 — видимость объекта различения соответственно при экранировании и наличии ярких источников света в поле зрения. Максимальное значение коэффициента ослепленности не должно превышать 4. Показатель дискомфорта М – критерий оценки дискомфортной блескости, вызывающей неприятные ощущения при неравномерном распределении яркостей в поле зрения. Коэффициент пульсации освещенности Кп – критерий оценки относительной глубины колебаний освещенности в результате изменения во времени 6 светового потока газоразрядных ламп при питании их переменным током, выражающийся формулой 100 2 Е Е Е К ср макс мин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п 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, %, (12)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где макс мин Еср Е ,Е , – соответственно максимальное, минимальное и среднее значения освещенности за период ее колебания, лк. Для измерения и контроля освещенности применяют люксметр, принцип действия которого основан на фотоэлектрическом эффекте. При освещении селенового фотоэлемента в цепи соединенного с ним гальванометра возникает фототок, обусловливающий отклонение стрелки микроамперметра, шкалу которого градуируют в люксах. Для измерений силы света и яркости применяют фотометры типа ФПЧ (фотометры фотоэлектрические для измерения яркости источников света со 10-2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сплошным спектром излучения. Пределы измерения от 2 10-4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до 5 кд/м2 . Спектральный диапазон 400-750 нм). Измерение освещенности проводят по ГОСТ 24940—96 «Методы измерения освещенности». 2. Виды производственного освещения В соответствии с ТКП 45-2.04-153-2009«Естественное и искусственное освещение» в зависимости от источника света различают естественное, искусственное и совмещенное освещение (сочетание естественного и искусственного). 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Естественное освещение производственных помещений может осуществляться через окна в боковых стенах (боковое), через верхние световые проемы, фонари (верхнее) или обоими способами одновременно (комбинированное освещение). Достоинства: экономичность, благоприятное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воздействие на организм человека, естественная цветопередача предметов. Недостатки: переменно в течение суток, зависит от климатических, сезонных и географических условий. Искусственное освещение создается электрическими источниками света (лампами накаливания и (или) газоразрядными лампами). По конструктивному исполнению искусственное освещение подразделяют на общее и комбинированное (общее + местное). Общее освещение предназначено для освещения всего помещения, осветительные устройства размещаются в верхней зоне помещения. Оно может быть равномерным или локализованным. Общее равномерное освещение обеспечивает равномерное распределение светового потока по всему помещению без учета расположения оборудования, а общее локализованное — с учетом расположения рабочих мест путем размещения светильников ближе к рабочим поверхностям. 7 Комбинированное освещение состоит из общего и местного (местный светильник, например настольная лампа). Его устанавливают при работах высокой точности, а также при необходимости создания определенного или изменяемого в процессе работы направления света. Доля общего освещения в комбинированном должна быть не менее 10%. Местное освещение предназначено для освещения только рабочих поверхностей и не создает необходимой освещенности даже на прилегающих к ним площадях. Применение только местного освещения, как стационарного, так и переносного, в производственных помещениях не допускается. Система общего освещения должна соответствовать следующим требованиям: – светильники должны быть оснащены антибликовыми приспособлениями (сетками, диффузорами и т.д.); – часть света должна быть направлена на потолок и на верхнюю часть стен; – светильники должны быть установлены вне поля зрительной видимости работника, чтобы уменьшить ослепление и сделать освещение более однородным. По функциональному назначению искусственное освещение подразделяется на рабочее, аварийное, охранное и дежурное.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 Для освещения помещений используют наиболее экономичные газоразрядные лампы. Использование ламп накаливания для общего освещения допускается только в случае невозможности или техникоэкономической нецелесообразности использования газоразрядных ламп. Для местного освещения кроме газоразрядных источников света рекомендуется использовать лампы накаливания, в том числе галогенные. Аварийное освещение разделяется на освещение безопасности и эвакуационное. Освещение безопасности предназначено для освещения помещений при аварийном отключении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рабочего освещения в случае взрыва, пожара, отравления людей; длительного нарушения технологического процесса, нарушения режима работы детских учреждений, нарушения работы электрических станций, узлов радио- и телевизионных передач и связи, диспетчерских пунктов, насосных установок водоснабжения, канализации и теплофикации, установок вентиляции и кондиционирования воздуха для производственных помещений, в которых недопустимо прекращение работ и т.п. Освещение безопасности должно создавать на рабочих поверхностях наименьшую освещенность в размере 5% освещенности, нормируемой для рабочего освещения от общего освещения, но не менее 2 лк внутри зданий и не менее 1 лк – для территорий предприятий. Питание светильников при этом осуществляется с помощью резервных автономных генераторов. Эвакуационное освещение предназначено для безопасной эвакуации людей из помещений при аварийном отключении рабочего освещения в местах, 8 опасных для прохода людей, на лестницах, вдоль основных проходов производственных помещений, в которых работает более 50 человек. Это освещение должно обеспечивать на полу основных проходов (или на земле) и на ступенях лестниц освещенность 0,5 лк (в помещениях) и 0,2 лк – на открытых территориях. Для аварийного освещения (освещения безопасности и эвакуационного) следует применять лампы накаливания; люминесцентные лампы – в помещениях с минимальной температурой воздуха не менее 5°С при условии питания ламп во всех режимах напряжением не ниже 90 % номинального; газоразрядные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питающего напряжения, так и в холодном состоянии. Охранное освещение предусматривается вдоль границ территории, охраняемых в ночное время; оно должно обеспечивать освещенность не менее 0,5 лк на уровне земли. Для охранного освещения могут использоваться любые источники света, за исключением случаев, когда охранное освещение нормально не горит и автоматически включается от действия охранной сигнализации или других технических средств. В таких случаях должны применяться лампы накаливания. Дежурное освещение предназначено для минимального искусственного освещения при несении дежурств, охраны, в нерабочее время, совпадающее с темным временем суток. Для дежурного освещения могут использоваться любые источники света. Кроме естественного и искусственного освещения может применяться их сочетание, когда освещенности за счет естественного света недостаточно для выполнения той или иной работы. Такое освещение называется совмещенным. Для выполнения работы наивысшей, очень высокой и высокой точности обычно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естественной освещенности недостаточно и поэтому применяют совмещенное освещение. 3. Основные требования к искусственному освещению производственных помещений На промышленных предприятиях применяют общее освещение или комбинированное. Предпосылками для организации общего освещения являются следующие условия: а) возможность выполнения работ одного зрительного разряда по всему помещению; б) высокая плотность рабочих мест; в) невысокая точность работ. Предпосылками для устройства комбинированного освещения являются: а) высокая точность работ; б) необходимость определенного направления света; в) невысокая плотность распределения рабочих мест в помещении. Требования, которым должно отвечать освещение на рабочем месте: 9  освещенность должна соответствовать характеру зрительной работы;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яркость света должна быть достаточной;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равномерное распределение светового потока по рабочей поверхности;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источник света не должен слепить глаза;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освещение должно быть рассеянным и не создавать глубоких теней;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величина освещения постоянна во времени (Кп не превышает нормативных значений);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оптимальный спектральный состав;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все элементы осветительных установок должны быть долговечны, взрыво-, пожаро-, электробезопасны.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4. Электрические источники света Источники света являются важнейшими составными частями осветительных установок промышленных предприятий. Правильный выбор типов и мощности ламп оказывает решающее влияние на эксплуатационные качества и экономическую эффективность осветительных установок, на соответствие искусственного освещения предъявленным к нему требованиям. В осветительных установках, предназначенных для освещения производственных помещений и территорий предприятий, в качестве источников света применяют: – лампы накаливания; – газоразрядные лампы низкого давления (люминесцентные) и высокого давления. Основные характеристики ламп: – электрическая мощность W, Вт; – световой поток F, лм; ;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>– удельная световая отдача   F W , лм/Вт. (13)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Световая отдача показывает, с какой экономичностью потребляемая электрическая мощность преобразуется в свет. – номинальное напряжение питающей сети U, B; – средний срок службы t, ч. В системах производственного освещения предпочтение отдается газоразрядным лампам. Использование ламп накаливания допускается в случае невозможности или экономической нецелесообразности применения газоразрядных ламп. Лампы накаливания. Они относятся к тепловым источникам света, в которых свечение возникает путем нагревания нити накала (как правило, вольфрамовой) до высоких температур. Лампы накаливания применяются в помещениях, где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грубые работы или осуществляют общих надзор за работой оборудования, например, установок вентиляции и кондиционирования воздуха. Сохраняется определяющее значение ламп накаливания в светильниках местного освещения, хотя при организации местного освещения могут использо- 10 ваться люминесцентные лампы небольшой мощности. В системах производственного освещения применяются лампы накаливания общего назначения с номинальным напряжением 127В и 220В и лампы накаливания местного освещения с напряжением 24В и 40В. Достоинства ламп накаливания: – относительно низкая стоимость; – простота в изготовлении; – удобство и надежность в эксплуатации (не требуют включения в сеть дополнительных пусковых устройств); – имеют незначительный период разгорания; – компактны; – практически не зависят от условий окружающей среды; – световой поток к концу срока службы снижается незначительно. Недостатки ламп накаливания: – низкая световая отдача (не более 20 лм/Вт), а, следовательно, неэкономичность эксплуатации; – небольшой срок службы (до 1 000 ч.); – неблагоприятный спектральный состав (преобладание желтой и красной частей спектра при недостатке в синей и фиолетовой его частях по сравнению с естественным светом, что искажает цветовое восприятие); – нерациональное распределение светового потока для большинства ламп, что требует применения осветительной арматуры (светильников). Галогенные лампы накаливания (ГЛН) наряду с вольфрамовой нитью содержат в колбе пары галогена (йод, бром), который повышает температуру накала нити и практически исключает испарение. По сравнению с лампами накаливания они имеют значительно меньшие размеры, более высокие термостойкость и механическую прочность, благодаря применению кварцевой колбы, а также продолжительный срок службы (до 2 000 ч) и повышенную светоотдачу (до 22 лм/Вт). ГЛН применяются в системах общего освещения, прожекторах и т.п. Газоразрядные лампы низкого давления. Иначе их называют люминесцентными. Люминесцентная лампа — газоразрядный источник света, световой поток которого определяется в основном свечением люминофоров под воздействием электрических зарядов, проходящих через него. Наиболее распространённой разновидностью подобных источников является ртутная люминесцентная лампа. При работе люминесцентной лампы между двумя электродами, находящимися в противоположных концах лампы, возникает электрический разряд (рис. 2). Стеклянная трубка заполнена парами ртути под низким давлением, проходящий ток приводит к появлению ультрафиолетового излучения. Это излучение невидимо для человеческого глаза, поэтому его преобразуют в видимый свет с помощью явления люминесценции. Внутренние стенки лампы покрыты специальным веществом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– люминофором, которое поглощает ультрафиолетовое излучение и выделяет видимый свет. Изменяя состав люминофора можно менять оттенок получаемого света. 11 В зависимости от марок люминофора различают несколько типов люминесцентных ламп (ЛЛ). Например, лампы: дневного света (ЛД); дневного света с улучшенной цветопередачей (ЛДЦ); холодного белого света (ЛХБ); теплого белого света (ЛТБ); белого света (ЛБ); холодного естественного света (ЛХЕ); естественного света с улучшенной цветопередачей (ЛЕЦ); с внутренним отражающим слоем (ЛБР); естественного света (ЛЕ); компактные (КЛЛ); белового света с улучшенной цветопередачей трехполосные (ЛБЦТ) и другие. Рисунок 2. Принцип генерации света в люминесцентных лампах на примере лампы с термокатодом Выбор типа люминесцентных ламп для освещения того или иного рабочего помещения зависит от особенностей работы и окраски помещения. Лампы ЛЕ и ЛДЦ следует применять в тех случаях, когда предъявляются специальные требования к определению цвета. Лампы ЛТБ, излучающие розоватый свет, можно применять в помещениях для отдыха. Во всех остальных случаях рекомендуются лампы типа ЛБ как наиболее экономичные, дающие более теплый свет. Компактная люминесцентная лампа – лампа, имеющая меньшие размеры по сравнению с колбчатой лампой и меньшую чувствительность к механическим повреждениям. Разновидность компактных ламп имеет возможность установки в стандартный патрон для ламп накаливания. Основное преимущество компактных люминесцентных ламп – экономичность в компактной форме. Они позволяют снизить расходы на электричество до 80% по сравнению с лампами накаливания, причем срок службы может быть больше в 15 раз. Существуют варианты ламп со встроенным электронным пускорегулирующим аппаратом и резьбовым цоколем для прямой замены обычных ламп накаливания, применяются в профессиональных и бытовых осветительных установках. Достоинства по сравнению с лампами накаливания:  высокая световая отдача (до 75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большой срок службы (до 10 000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экономичность;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возможность применения источника света различного спектрального состава при лучшей для большинства типов цветопередаче;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относительно малая (хотя и создающая ослепленность) яркость;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12  выделяют значительно меньше тепла.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относительная сложность схемы включения;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ограниченная единичная мощность;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зависимость от условий эксплуатации (при низкой температуре и большой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влажности они плохо загораются и быстро выходят из строя. Для оптимальной их работы температура в помещении должна быть 18-25 оС, а влажность не более 70%).  значительное снижение светового потока к концу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срока службы;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вредные для зрения пульсации светового потока с частотой 100 Гц (могут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быть устранены или уменьшены только при совокупности действий нескольких ламп и соответствующих схемах включения).  стробоскопический эффект, т.е. искажение зрительного восприятия в пульсирующем световом потоке (например, вращающиеся части оборудования могут восприниматься как неподвижные или движущиеся в обратном направлении), что создает травмоопасную ситуацию.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Газоразрядные лампы высокого давления. Различают дуговые ртутные люминесцентные лампы (ДРЛ), дуговые ртутные лампы с добавкой металлов (ДРИ), ксеноновые газоразрядные лампы (ДКсТ), натриевые газоразрядные лампы (ДНаТ). Лампа ДРЛ состоит из внутренней кварцевой колбы (пропускающей ультрафиолетовые лучи), которая заполнена парами ртути под давлением 0,2...0,4 МПа, и внешней стеклянной колбы, покрытой люминофором. Лампы ДРЛ позволяют создать большие уровни освещенности без значительных затрат на электроэнергию и применимы в высоких цехах при наличии пыли, дыма и копоти в воздухе. Применяются для освещения территорий предприятий, населенных пунктов, а также производственных помещений большой высоты. Достоинства ДРЛ по сравнению с люминесцентными лампами:  более высокая световая отдача (до 55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больший срок службы (10 000-15 000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компактность;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устойчивость к условиям внешней среды;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меньшая чувствительность к колебаниям напряжения.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длительность разгорания при включении (до 7 мин);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большая пульсация светового потока;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значительное снижение светового потока к концу срока службы;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преобладание в спектре лучей сине-зеленой части (что исключает их применение, когда объектами различения являются лица людей или окрашенные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поверхности). В тех случаях, когда нельзя использовать лампы ДРЛ применяются дуговые ртутные лампы с добавкой йодидов металлов (ДРИ), их часто называют металлогалогенными. Они являются одним из наиболее экономичных источни- 13 ков света общего назначения, что позволяет использовать их для освещения производственных помещений большой высоты и площади, строительных площадок, карьеров, а также других мест работы под открытым небом. Достоинства ДРИ по сравнению с ДРЛ:  высокая световая отдача (75-100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лучшая цветопередача.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небольшой срок службы (2 000-5 000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сложная система включения.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Ксеноновые газоразрядные лампы ДКсТ (дуговые ксеноновые трубчатые). Спектр излучения ксеноновых ламп почти полностью воспроизводит спектр солнечного света, что позволяет правильно воспринимать цветовые оттенки. Лампы применяются только для освещения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предприятия в связи с опасностью ультрафиолетового облучения работающих в помещении. Достоинства: лампы ДКсТ выпускаются на единичные мощности от 5 до 10 кВт и имеют самый близкий к естественному свету спектральный состав. Но это их достоинство не используется, поскольку внутри зданий они не применяются. Недостатки: большая пульсация светового потока, избыток в спектре ультрафиолетовых лучей, вызывающий необходимость создания защитных колб; малая надежность пусковых устройств и сравнительно низкая отдача светового потока (по сравнению с ДРЛ, ДРИ, ДНаТ и галогенными источниками повышенной мощности). Натриевые газоразрядные лампы ДНаТ обладают наивысшей эффективностью и удовлетворительной цветопередачей. Их применяют для освещения цехов с большой высотой, где требования к цветопередаче невысоки. Достоинства:  высокая световая отдача (80-150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большой срок службы (16 000-28 000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одна лампа ДНаТ мощностью 250 Вт заменяет по световому потоку две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лампы ДРЛ 250 Вт или три лампы накаливания мощностью по 500 Вт. Недостатки: низкая цветопередача, поэтому в первую очередь они применяются для освещения автомагистралей, туннелей, протяжённых складских помещений, растений в теплицах, архитектурной подсветки и освещения больших открытых пространств. 5. Нормирование и гигиеническая оценка производственного освещения При создании системы производственного освещения руководствуются ТКП 45-2.04-153-2009 «Естественное и искусственное освещение» (табл.1). Нормы освещенности построены на основе классификации работ по определенным количественным признакам. Производственное освещение нормируется в зависимости от: 14 – точности зрительной работы, – яркости фона, – контраста объекта и фона, – системы освещения. Точность зрительной работы характеризуется минимальным размером объекта различения. Объект различения – это элемент рассматриваемого объекта минимального размера, который нужно узнавать и различать. По степени точности все зрительные работы делятся на восемь разрядов. В свою очередь разряды делятся на четыре подразряда в зависимости от характеристики фона и контраста между объектом и фоном. Деление разрядов зрительных работ на подразряды дает возможность более дифференцированно выбрать освещенность для каждой зрительной работы. Гигиеническая оценка производственного освещения заключается в измерении или расчете фактической освещенности на рабочей поверхности и сравнении ее с нормативным значением, которое указано в строительных (СНБ) или отраслевых нормах освещенности рабочих мест, в зависимости от вида работ. Рабочей считается поверхность, на которой непосредственно производится работа. Нормирование искусственного освещения.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Нормирование осуществляется непосредственно по минимальной освещенности рабочей поверхности (Е, лк), в соответствии с ТКП 45-2.04-153-2009. Нормируемые значения освещенности в люксах, отличающиеся на одну ступень, образуют шкалу: 30; 50; 75; 100; 150; 200; 300; 400; 500; 600; 750; 1000; 1250; 1500; 2000; 2500; 3000; 3500; 4000; 4500; 5000 лк. В ряде случаев нормы освещенности необходимо повышать или понижать на одну ступень по шкале освещенности. Например, если работа связана с повышенной опасностью травматизма, размещением деталей на движущихся поверхностях, если напряженная зрительная работа производится непрерывно в течение рабочего дня или различаемые объекты расположены от глаз далее чем на 0,5 м, нормы освещенности повышают на одну ступень согласно специальной шкале освещенностей. В помещениях, где выполняются работы IV – VI разрядов, нормы освещенности следует снижать на одну ступень при кратковременном пребывании людей или при наличии оборудования, не требующего постоянного обслуживания. Нормирование естественного освещения. Непостоянство естественного света даже в течение короткого промежутка времени вызвало необходимость нормировать естественное освещение с помощью относительного показателя – коэффициента естественной освещенности (КЕО, е). КЕО – это отношение естественной освещенности, создаваемой в некоторой точке заданной плоскости внутри помещения, к одновременному значению наружной горизонтальной освещенности, создаваемой светом полностью открытого небосвода, выраженное в процентах: 100%, (14)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(Евн Енар )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КЕО(е)  15 где Евн – освещенность какой-либо точки внутри помещения; Енар – освещенность точки вне помещения. В небольших помещениях при одностороннем боковом естественном освещении (рис. 3 а) нормируется минимальное значение КЕО в точке, расположенной на расстоянии 1 м от стены, наиболее удаленной от световых проемов, на пересечении вертикальной плоскости характерного разреза помещения и условной рабочей поверхности. При двустороннем боковом освещении (рис. 3 б) – в точке посередине помещения на пересечении вертикальной плоскости характерного разреза помещения и условной рабочей поверхности. При верхнем или комбинированном естественном освещении (рис. 3 в, г) нормируется среднее значение КЕО в точках, расположенных на пересечении вертикальной плоскости характерного разреза помещения и условной рабочей поверхности. Первая и последняя точки принимаются на расстоянии 1м от поверхности стен (перегородок) или осей колонн. Рис. 3. Схема распределения КЕО по разрезу помещения: а – одностороннее боковое освещение; б – двустороннее боковое освещение; в – верхнее освещение; г – комбинированное освещение; 1 – уровень рабочей плоскости Характерный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разрез помещения –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 Условная рабочая поверхность – условно принятая горизонтальная поверхность, расположенная на высоте 0,8 м от пола. Для зданий, расположенных в различных районах местности, нормированные значения КЕО или еN определяют по формуле  mN , (15)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eH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еN  где eH – значения КЕО, приведенные в ТКП 45-2.04-153-2009; mN – коэффициент светового климата для соответствующего номера группы районов; N — номер группы административного района стран СНГ по ресурсам светового климата. Коэффициенты mN и N приведены в ТКП 45-2.04-153-2009. 16 Нормирование совмещенного освещения. Совмещенное освещение, так же как и естественное, нормируют с помощью КЕО (коэффициента естественной освещенности) в зависимости от выполняемого разряда зрительной работы и конструктивного исполнения искусственного освещения (ТКП 45-2.04-153- 2009). Совмещенное освещение оценивается при отключенных источниках искусственного света. 6. Методы расчета производственного освещения С целью оптимизации освещения рабочих мест, создания благоприятных условий труда, повышения работоспособности проводят инженернотехнические мероприятия по расчету и проектированию производственного освещения. Расчет естественного освещения Основной задачей светотехнических расчетов при естественном освещении является определение требуемой площади световых проемов (ТКП 45-2.04- 153-2009). Предварительный расчет площади световых проемов производится: а) при боковом освещении помещений по формуле зд о 1 н з о п o K r e К S S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100 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 ; (16)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б) при верхнем освещении по формуле: о 2 ф н з ф п ф r К e К S S 100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 , (17)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где So – площадь световых проемов (в свету) при боковом освещении, м 2 ; Sп – площадь пола помещения, м 2 ; н e – нормированное значение КЕО, %; Кз – коэффициент запаса (прил. 5); o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– световая характеристика окон (прил. 8); Kзд – коэффициент, учитывающий затенение окон противостоящими.</w:t>
      </w:r>
    </w:p>
    <w:p w:rsidR="00CA60E3" w:rsidRDefault="00CA60E3" w:rsidP="00CA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0E3" w:rsidRDefault="00CA60E3" w:rsidP="00CA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0E3" w:rsidRDefault="00CA60E3" w:rsidP="00CA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0E3" w:rsidRDefault="00CA60E3" w:rsidP="00CA60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Преподователь__________Ахмедова А.И.</w:t>
      </w:r>
    </w:p>
    <w:p w:rsidR="00D75C86" w:rsidRDefault="00D75C86"/>
    <w:sectPr w:rsidR="00D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4"/>
    <w:rsid w:val="009C60D4"/>
    <w:rsid w:val="00CA60E3"/>
    <w:rsid w:val="00D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3C39-87E0-4FB8-9F70-8E41D4D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5034</Words>
  <Characters>28699</Characters>
  <Application>Microsoft Office Word</Application>
  <DocSecurity>0</DocSecurity>
  <Lines>239</Lines>
  <Paragraphs>67</Paragraphs>
  <ScaleCrop>false</ScaleCrop>
  <Company>diakov.net</Company>
  <LinksUpToDate>false</LinksUpToDate>
  <CharactersWithSpaces>33666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2020-12-19T09:38:00Z</dcterms:created>
  <dcterms:modified xsi:type="dcterms:W3CDTF">2020-12-19T09:38:00Z</dcterms:modified>
</cp:coreProperties>
</file>