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>
        <w:rPr>
          <w:bCs/>
        </w:rPr>
        <w:t>1</w:t>
      </w:r>
      <w:r w:rsidR="00780C74">
        <w:rPr>
          <w:bCs/>
        </w:rPr>
        <w:t>6</w:t>
      </w:r>
      <w:r>
        <w:rPr>
          <w:bCs/>
        </w:rPr>
        <w:t>.12.2020г.</w:t>
      </w:r>
    </w:p>
    <w:p w:rsidR="002E7BF0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>
        <w:rPr>
          <w:bCs/>
        </w:rPr>
        <w:t>19-ЭК-</w:t>
      </w:r>
      <w:r w:rsidR="00780C74">
        <w:rPr>
          <w:bCs/>
        </w:rPr>
        <w:t>2</w:t>
      </w:r>
      <w:r>
        <w:rPr>
          <w:bCs/>
        </w:rPr>
        <w:t>д</w:t>
      </w:r>
    </w:p>
    <w:p w:rsidR="002E7BF0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>
        <w:rPr>
          <w:bCs/>
        </w:rPr>
        <w:t>ОП.03 Налоги и налогообложение</w:t>
      </w:r>
    </w:p>
    <w:p w:rsidR="002E7BF0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2E7BF0" w:rsidRPr="00DE0B08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  <w:sz w:val="32"/>
          <w:szCs w:val="32"/>
        </w:rPr>
      </w:pPr>
      <w:r w:rsidRPr="00DE0B08">
        <w:rPr>
          <w:b/>
          <w:bCs/>
          <w:sz w:val="32"/>
          <w:szCs w:val="32"/>
        </w:rPr>
        <w:t>Практическое занятие: «Заполнение платежных поручений для перечисления налогов»</w:t>
      </w:r>
    </w:p>
    <w:p w:rsidR="008161A7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</w:rPr>
      </w:pP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/>
        <w:rPr>
          <w:color w:val="000000" w:themeColor="text1"/>
          <w:sz w:val="28"/>
          <w:szCs w:val="28"/>
        </w:rPr>
      </w:pPr>
      <w:r w:rsidRPr="00DE0B08">
        <w:rPr>
          <w:b/>
          <w:bCs/>
          <w:color w:val="000000" w:themeColor="text1"/>
          <w:sz w:val="28"/>
          <w:szCs w:val="28"/>
        </w:rPr>
        <w:t>Платёжное поручение</w:t>
      </w:r>
      <w:r w:rsidRPr="00DE0B08">
        <w:rPr>
          <w:color w:val="000000" w:themeColor="text1"/>
          <w:sz w:val="28"/>
          <w:szCs w:val="28"/>
        </w:rPr>
        <w:t> — это </w:t>
      </w:r>
      <w:hyperlink r:id="rId5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распоряжение</w:t>
        </w:r>
      </w:hyperlink>
      <w:r w:rsidRPr="00DE0B08">
        <w:rPr>
          <w:color w:val="000000" w:themeColor="text1"/>
          <w:sz w:val="28"/>
          <w:szCs w:val="28"/>
        </w:rPr>
        <w:t> </w:t>
      </w:r>
      <w:hyperlink r:id="rId6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владельца</w:t>
        </w:r>
      </w:hyperlink>
      <w:r w:rsidRPr="00DE0B08">
        <w:rPr>
          <w:color w:val="000000" w:themeColor="text1"/>
          <w:sz w:val="28"/>
          <w:szCs w:val="28"/>
        </w:rPr>
        <w:t> </w:t>
      </w:r>
      <w:hyperlink r:id="rId7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счёта</w:t>
        </w:r>
      </w:hyperlink>
      <w:r w:rsidRPr="00DE0B08">
        <w:rPr>
          <w:color w:val="000000" w:themeColor="text1"/>
          <w:sz w:val="28"/>
          <w:szCs w:val="28"/>
        </w:rPr>
        <w:t> (</w:t>
      </w:r>
      <w:hyperlink r:id="rId8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плательщика</w:t>
        </w:r>
      </w:hyperlink>
      <w:r w:rsidRPr="00DE0B08">
        <w:rPr>
          <w:color w:val="000000" w:themeColor="text1"/>
          <w:sz w:val="28"/>
          <w:szCs w:val="28"/>
        </w:rPr>
        <w:t>) обслуживающему его </w:t>
      </w:r>
      <w:hyperlink r:id="rId9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банку</w:t>
        </w:r>
      </w:hyperlink>
      <w:r w:rsidRPr="00DE0B08">
        <w:rPr>
          <w:color w:val="000000" w:themeColor="text1"/>
          <w:sz w:val="28"/>
          <w:szCs w:val="28"/>
        </w:rPr>
        <w:t>, оформленное </w:t>
      </w:r>
      <w:hyperlink r:id="rId10" w:tooltip="Расчётный документ (страница отсутствует)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расчётным документом</w:t>
        </w:r>
      </w:hyperlink>
      <w:r w:rsidRPr="00DE0B08">
        <w:rPr>
          <w:color w:val="000000" w:themeColor="text1"/>
          <w:sz w:val="28"/>
          <w:szCs w:val="28"/>
        </w:rPr>
        <w:t>, перевести определённую </w:t>
      </w:r>
      <w:hyperlink r:id="rId11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денежную сумму</w:t>
        </w:r>
      </w:hyperlink>
      <w:r w:rsidRPr="00DE0B08">
        <w:rPr>
          <w:color w:val="000000" w:themeColor="text1"/>
          <w:sz w:val="28"/>
          <w:szCs w:val="28"/>
        </w:rPr>
        <w:t> на счёт </w:t>
      </w:r>
      <w:hyperlink r:id="rId12" w:tooltip="Получатель (страница отсутствует)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получателя</w:t>
        </w:r>
      </w:hyperlink>
      <w:r w:rsidRPr="00DE0B08">
        <w:rPr>
          <w:color w:val="000000" w:themeColor="text1"/>
          <w:sz w:val="28"/>
          <w:szCs w:val="28"/>
        </w:rPr>
        <w:t> средств, открытый в этом или другом банке.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К лицам, не имеющим счёта, по </w:t>
      </w:r>
      <w:hyperlink r:id="rId13" w:anchor="%D0%A1%D1%82%D0%B0%D1%82%D1%8C%D1%8F_863._%D0%9E%D0%B1%D1%89%D0%B8%D0%B5_%D0%BF%D0%BE%D0%BB%D0%BE%D0%B6%D0%B5%D0%BD%D0%B8%D1%8F_%D0%BE_%D1%80%D0%B0%D1%81%D1%87%D1%91%D1%82%D0%B0%D1%85_%D0%BF%D0%BB%D0%B0%D1%82%D1%91%D0%B6%D0%BD%D1%8B%D0%BC%D0%B8_%D0%BF%D0%" w:tooltip="s:Гражданский кодекс РФ/Глава 46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п. 2 ст. 863 ГК РФ</w:t>
        </w:r>
      </w:hyperlink>
      <w:r w:rsidRPr="00DE0B08">
        <w:rPr>
          <w:color w:val="000000" w:themeColor="text1"/>
          <w:sz w:val="28"/>
          <w:szCs w:val="28"/>
        </w:rPr>
        <w:t> применяются те же правила, что и к владельцам счёта. Платёжные поручения могут быть в бумажном и электронном виде (например, в системе </w:t>
      </w:r>
      <w:hyperlink r:id="rId14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клиент-банк</w:t>
        </w:r>
      </w:hyperlink>
      <w:r w:rsidRPr="00DE0B08">
        <w:rPr>
          <w:color w:val="000000" w:themeColor="text1"/>
          <w:sz w:val="28"/>
          <w:szCs w:val="28"/>
        </w:rPr>
        <w:t>).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В соответствии с п. 2.6 Положения </w:t>
      </w:r>
      <w:hyperlink r:id="rId15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ЦБ РФ</w:t>
        </w:r>
      </w:hyperlink>
      <w:r w:rsidRPr="00DE0B08">
        <w:rPr>
          <w:color w:val="000000" w:themeColor="text1"/>
          <w:sz w:val="28"/>
          <w:szCs w:val="28"/>
        </w:rPr>
        <w:t> «О порядке осуществления безналичных расчётов физическими лицами в РФ», на основании заявления </w:t>
      </w:r>
      <w:hyperlink r:id="rId16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физического лица</w:t>
        </w:r>
      </w:hyperlink>
      <w:r w:rsidRPr="00DE0B08">
        <w:rPr>
          <w:color w:val="000000" w:themeColor="text1"/>
          <w:sz w:val="28"/>
          <w:szCs w:val="28"/>
        </w:rPr>
        <w:t> может быть сформировано </w:t>
      </w:r>
      <w:hyperlink r:id="rId17" w:tooltip="Заявление (страница отсутствует)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заявление</w:t>
        </w:r>
      </w:hyperlink>
      <w:r w:rsidRPr="00DE0B08">
        <w:rPr>
          <w:color w:val="000000" w:themeColor="text1"/>
          <w:sz w:val="28"/>
          <w:szCs w:val="28"/>
        </w:rPr>
        <w:t> на периодическое перечисление денежных средств банком (см. </w:t>
      </w:r>
      <w:hyperlink r:id="rId18" w:tooltip="Долгосрочное платёжное поручение (страница отсутствует)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Долгосрочное платёжное поручение</w:t>
        </w:r>
      </w:hyperlink>
      <w:r w:rsidRPr="00DE0B08">
        <w:rPr>
          <w:color w:val="000000" w:themeColor="text1"/>
          <w:sz w:val="28"/>
          <w:szCs w:val="28"/>
        </w:rPr>
        <w:t>).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Обычно платёжное поручение составляется в четырёх </w:t>
      </w:r>
      <w:hyperlink r:id="rId19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экземплярах</w:t>
        </w:r>
      </w:hyperlink>
      <w:r w:rsidRPr="00DE0B08">
        <w:rPr>
          <w:color w:val="000000" w:themeColor="text1"/>
          <w:sz w:val="28"/>
          <w:szCs w:val="28"/>
        </w:rPr>
        <w:t>: 1-й экземпляр используется в банке плательщика для списания средств со счёта плательщика и остаётся в документах для банка;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4-й экземпляр возвращается плательщику со штампом банка в качестве расписки о приёме платежного поручения к исполнению;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2-й и 3-й экземпляры платёжного поручения отсылаются в банк получателя платежа; при этом 2-й экземпляр служит основанием для зачисления средств на счёт получателя и остаётся в документах для этого банка, а 3-й экземпляр прилагается к </w:t>
      </w:r>
      <w:hyperlink r:id="rId20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выписке из счёта</w:t>
        </w:r>
      </w:hyperlink>
      <w:r w:rsidRPr="00DE0B08">
        <w:rPr>
          <w:color w:val="000000" w:themeColor="text1"/>
          <w:sz w:val="28"/>
          <w:szCs w:val="28"/>
        </w:rPr>
        <w:t> получателя как основание для подтверждения банковской проводки. Платёжные поручения принимаются банком независимо от наличия денежных средств на счёте плательщика, но исполняются только при наличии достаточных средств на нём.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lastRenderedPageBreak/>
        <w:t>Общие положения о расчётах платёжными поручениями определены статьёй 863 </w:t>
      </w:r>
      <w:hyperlink r:id="rId21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ГК РФ</w:t>
        </w:r>
      </w:hyperlink>
      <w:r w:rsidRPr="00DE0B08">
        <w:rPr>
          <w:color w:val="000000" w:themeColor="text1"/>
          <w:sz w:val="28"/>
          <w:szCs w:val="28"/>
        </w:rPr>
        <w:t>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Платёжное поручение исполняется банком в срок, предусмотренный законодательством, или в более короткий срок, установленный договором банковского счёта либо определяемый применяемыми в банковской практике обычаями делового оборота.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Платёжными поручениями может производиться перечисление денежных средств:</w:t>
      </w:r>
    </w:p>
    <w:p w:rsidR="008161A7" w:rsidRPr="00DE0B08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за поставленные </w:t>
      </w:r>
      <w:hyperlink r:id="rId22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товары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выполненные </w:t>
      </w:r>
      <w:hyperlink r:id="rId23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работы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, оказанные </w:t>
      </w:r>
      <w:hyperlink r:id="rId24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услуги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, для предварительной оплаты товаров, работ, услуг, или для осуществления периодических </w:t>
      </w:r>
      <w:hyperlink r:id="rId25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платежей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DE0B08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26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бюджеты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всех уровней и во </w:t>
      </w:r>
      <w:hyperlink r:id="rId27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внебюджетные фонды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DE0B08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возврата/размещения </w:t>
      </w:r>
      <w:hyperlink r:id="rId28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кредитов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29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займов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)/</w:t>
      </w:r>
      <w:hyperlink r:id="rId30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депозитов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и уплаты </w:t>
      </w:r>
      <w:hyperlink r:id="rId31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процентов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по ним;</w:t>
      </w:r>
    </w:p>
    <w:p w:rsidR="008161A7" w:rsidRPr="00DE0B08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целях, предусмотренных </w:t>
      </w:r>
      <w:hyperlink r:id="rId32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hyperlink r:id="rId33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договором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Общий срок осуществления </w:t>
      </w:r>
      <w:hyperlink r:id="rId34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безналичных расчётов</w:t>
        </w:r>
      </w:hyperlink>
      <w:r w:rsidRPr="00DE0B08">
        <w:rPr>
          <w:color w:val="000000" w:themeColor="text1"/>
          <w:sz w:val="28"/>
          <w:szCs w:val="28"/>
        </w:rPr>
        <w:t> не должен превышать:</w:t>
      </w:r>
    </w:p>
    <w:p w:rsidR="008161A7" w:rsidRPr="00DE0B08" w:rsidRDefault="008161A7" w:rsidP="00DE0B0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два операционных дня в пределах территории </w:t>
      </w:r>
      <w:hyperlink r:id="rId35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субъекта РФ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DE0B08" w:rsidRDefault="008161A7" w:rsidP="00DE0B0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пять операционных дней в пределах территории РФ.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После проверки банковским </w:t>
      </w:r>
      <w:hyperlink r:id="rId36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работником</w:t>
        </w:r>
      </w:hyperlink>
      <w:r w:rsidRPr="00DE0B08">
        <w:rPr>
          <w:color w:val="000000" w:themeColor="text1"/>
          <w:sz w:val="28"/>
          <w:szCs w:val="28"/>
        </w:rPr>
        <w:t> правильности заполнения и оформления платёжных поручений на всех экземплярах (кроме последнего), принятых к исполнению платёжных поручений, в поле «Поступление в банк плат» ответственный </w:t>
      </w:r>
      <w:hyperlink r:id="rId37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исполнитель</w:t>
        </w:r>
      </w:hyperlink>
      <w:r w:rsidRPr="00DE0B08">
        <w:rPr>
          <w:color w:val="000000" w:themeColor="text1"/>
          <w:sz w:val="28"/>
          <w:szCs w:val="28"/>
        </w:rPr>
        <w:t> банка проставляет дату поступления в банк платёжного поручения.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Последний экземпляр платёжного поручения, в котором в поле «Отметки банка» проставляются </w:t>
      </w:r>
      <w:hyperlink r:id="rId38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штамп</w:t>
        </w:r>
      </w:hyperlink>
      <w:r w:rsidRPr="00DE0B08">
        <w:rPr>
          <w:color w:val="000000" w:themeColor="text1"/>
          <w:sz w:val="28"/>
          <w:szCs w:val="28"/>
        </w:rPr>
        <w:t> банка, дата приёма платёжного поручения и </w:t>
      </w:r>
      <w:hyperlink r:id="rId39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подпись</w:t>
        </w:r>
      </w:hyperlink>
      <w:r w:rsidRPr="00DE0B08">
        <w:rPr>
          <w:color w:val="000000" w:themeColor="text1"/>
          <w:sz w:val="28"/>
          <w:szCs w:val="28"/>
        </w:rPr>
        <w:t> ответственного исполнителя. Банк, принявший платёжное поручение плательщика, обязан перечислить указанную денежную сумму банку получателя сре</w:t>
      </w:r>
      <w:proofErr w:type="gramStart"/>
      <w:r w:rsidRPr="00DE0B08">
        <w:rPr>
          <w:color w:val="000000" w:themeColor="text1"/>
          <w:sz w:val="28"/>
          <w:szCs w:val="28"/>
        </w:rPr>
        <w:t>дств дл</w:t>
      </w:r>
      <w:proofErr w:type="gramEnd"/>
      <w:r w:rsidRPr="00DE0B08">
        <w:rPr>
          <w:color w:val="000000" w:themeColor="text1"/>
          <w:sz w:val="28"/>
          <w:szCs w:val="28"/>
        </w:rPr>
        <w:t xml:space="preserve">я её начисления на счёт лица, указанного в </w:t>
      </w:r>
      <w:r w:rsidRPr="00DE0B08">
        <w:rPr>
          <w:color w:val="000000" w:themeColor="text1"/>
          <w:sz w:val="28"/>
          <w:szCs w:val="28"/>
        </w:rPr>
        <w:lastRenderedPageBreak/>
        <w:t>поручении. При необходимости банк имеет право привлекать и другие банки для выполнения операций по перечислению денежных средств на счёт, указанный в поручении </w:t>
      </w:r>
      <w:hyperlink r:id="rId40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клиента</w:t>
        </w:r>
      </w:hyperlink>
      <w:r w:rsidRPr="00DE0B08">
        <w:rPr>
          <w:color w:val="000000" w:themeColor="text1"/>
          <w:sz w:val="28"/>
          <w:szCs w:val="28"/>
        </w:rPr>
        <w:t>. Банк обязан по требованию плательщика проинформировать его об исполнении поручения.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 xml:space="preserve">В случае отсутствия или недостаточности денежных средств на счёте плательщика, а </w:t>
      </w:r>
      <w:proofErr w:type="gramStart"/>
      <w:r w:rsidRPr="00DE0B08">
        <w:rPr>
          <w:color w:val="000000" w:themeColor="text1"/>
          <w:sz w:val="28"/>
          <w:szCs w:val="28"/>
        </w:rPr>
        <w:t>также</w:t>
      </w:r>
      <w:proofErr w:type="gramEnd"/>
      <w:r w:rsidRPr="00DE0B08">
        <w:rPr>
          <w:color w:val="000000" w:themeColor="text1"/>
          <w:sz w:val="28"/>
          <w:szCs w:val="28"/>
        </w:rPr>
        <w:t xml:space="preserve"> если договором банковского счёта не определены условия оплаты расчётных документов сверх имеющихся на счёте денежных средств, платёжные поручения помещаются в картотеку «Расчётные документы, не оплаченные в срок». При этом на лицевой стороне в правом верхнем углу всех экземпляров платёжного поручения проставляется отметка в произвольной форме о помещении в </w:t>
      </w:r>
      <w:hyperlink r:id="rId41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картотеку</w:t>
        </w:r>
      </w:hyperlink>
      <w:r w:rsidRPr="00DE0B08">
        <w:rPr>
          <w:color w:val="000000" w:themeColor="text1"/>
          <w:sz w:val="28"/>
          <w:szCs w:val="28"/>
        </w:rPr>
        <w:t> с указанием даты. Оплата платёжных поручений производится по мере поступления средств в очередности, установленной законодательством.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При оплате платёжного поручения на всех экземплярах расчётного документа в поле «Списано со счёта плательщика» проставляется дата списания денежных средств со счёта плательщика (при частичной оплате — дата последнего платежа), а в поле «Отметки банка» проставляются штамп банка и подпись ответственного исполнителя.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Банк обязан информировать плательщика по его требованию об исполнении платёжного поручения не позже следующего </w:t>
      </w:r>
      <w:hyperlink r:id="rId42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рабочего дня</w:t>
        </w:r>
      </w:hyperlink>
      <w:r w:rsidRPr="00DE0B08">
        <w:rPr>
          <w:color w:val="000000" w:themeColor="text1"/>
          <w:sz w:val="28"/>
          <w:szCs w:val="28"/>
        </w:rPr>
        <w:t> после обращения плательщика в банк, если иной срок не предусмотрен договором банковского счёта.</w:t>
      </w:r>
    </w:p>
    <w:p w:rsid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 xml:space="preserve">Платёжное поручение регистрируется в журнале регистрации платёжных поручений. При этом ему присваивается порядковый номер, который и указывается в соответствующем поле бланка платёжного поручения. </w:t>
      </w:r>
    </w:p>
    <w:p w:rsidR="00DE0B08" w:rsidRDefault="00DE0B08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Образец заполненного платёжного поручения</w:t>
      </w:r>
    </w:p>
    <w:p w:rsidR="008161A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 w:firstLine="851"/>
        <w:jc w:val="center"/>
        <w:textAlignment w:val="baseline"/>
        <w:rPr>
          <w:b/>
          <w:bCs/>
        </w:rPr>
      </w:pPr>
    </w:p>
    <w:p w:rsidR="008161A7" w:rsidRDefault="008161A7" w:rsidP="00DE0B08">
      <w:pPr>
        <w:pStyle w:val="a4"/>
        <w:shd w:val="clear" w:color="auto" w:fill="FFFFFF"/>
        <w:tabs>
          <w:tab w:val="left" w:pos="7655"/>
        </w:tabs>
        <w:spacing w:before="0" w:beforeAutospacing="0" w:after="0" w:afterAutospacing="0"/>
        <w:ind w:right="426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A88CD"/>
          <w:bdr w:val="none" w:sz="0" w:space="0" w:color="auto" w:frame="1"/>
        </w:rPr>
        <w:lastRenderedPageBreak/>
        <w:drawing>
          <wp:inline distT="0" distB="0" distL="0" distR="0">
            <wp:extent cx="6181725" cy="6632288"/>
            <wp:effectExtent l="19050" t="0" r="9525" b="0"/>
            <wp:docPr id="6" name="Рисунок 6" descr="Образец заполнения платёжного поручения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зец заполнения платёжного поручения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63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A7" w:rsidRDefault="008161A7" w:rsidP="008161A7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</w:p>
    <w:p w:rsidR="00DE0B08" w:rsidRDefault="00DE0B08" w:rsidP="008161A7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  <w:r w:rsidRPr="00DE0B08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Образец незаполненного</w:t>
      </w:r>
      <w:r w:rsidRPr="00DE0B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платёжного поручения</w:t>
      </w:r>
    </w:p>
    <w:p w:rsidR="008161A7" w:rsidRDefault="008161A7" w:rsidP="008161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671185" cy="5987449"/>
            <wp:effectExtent l="19050" t="0" r="5715" b="0"/>
            <wp:docPr id="4" name="Рисунок 4" descr="C:\Users\Admin\Desktop\platezhnoye-porucheniye-blan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tezhnoye-porucheniye-blank-1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98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F0" w:rsidRDefault="008161A7" w:rsidP="00DE0B08">
      <w:pPr>
        <w:shd w:val="clear" w:color="auto" w:fill="FFFFFF"/>
        <w:spacing w:after="0" w:line="240" w:lineRule="auto"/>
        <w:rPr>
          <w:b/>
          <w:bCs/>
        </w:rPr>
      </w:pPr>
      <w:r w:rsidRPr="008161A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161A7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</w:rPr>
      </w:pPr>
    </w:p>
    <w:p w:rsidR="009231BA" w:rsidRPr="00DE0B08" w:rsidRDefault="009231BA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</w:rPr>
      </w:pPr>
      <w:r w:rsidRPr="00DE0B08">
        <w:rPr>
          <w:b/>
        </w:rPr>
        <w:t>Контрольные вопросы по теме:</w:t>
      </w:r>
    </w:p>
    <w:p w:rsidR="00363210" w:rsidRPr="00DE0B08" w:rsidRDefault="00363210" w:rsidP="00DE0B08">
      <w:pPr>
        <w:spacing w:after="0" w:line="360" w:lineRule="auto"/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E0B0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E0B08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Что такое </w:t>
      </w:r>
      <w:r w:rsidR="00DE0B08" w:rsidRPr="00DE0B08">
        <w:rPr>
          <w:rStyle w:val="a6"/>
          <w:rFonts w:ascii="Times New Roman" w:hAnsi="Times New Roman" w:cs="Times New Roman"/>
          <w:b w:val="0"/>
          <w:sz w:val="24"/>
          <w:szCs w:val="24"/>
        </w:rPr>
        <w:t>платёжное поручение</w:t>
      </w:r>
      <w:proofErr w:type="gramStart"/>
      <w:r w:rsidRPr="00DE0B08">
        <w:rPr>
          <w:rFonts w:ascii="Times New Roman" w:hAnsi="Times New Roman" w:cs="Times New Roman"/>
          <w:sz w:val="24"/>
          <w:szCs w:val="24"/>
        </w:rPr>
        <w:t> </w:t>
      </w:r>
      <w:r w:rsidRPr="00DE0B08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>?</w:t>
      </w:r>
      <w:proofErr w:type="gramEnd"/>
    </w:p>
    <w:p w:rsidR="00363210" w:rsidRPr="00DE0B08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0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Pr="00DE0B0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  </w:t>
      </w:r>
      <w:r w:rsidR="00DE0B08" w:rsidRPr="00DE0B0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В скольки</w:t>
      </w:r>
      <w:r w:rsidR="00DE0B0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х </w:t>
      </w:r>
      <w:r w:rsidR="00DE0B08" w:rsidRPr="00DE0B0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экземплярах составляется платёжное поручение</w:t>
      </w:r>
      <w:r w:rsidRPr="00DE0B08">
        <w:rPr>
          <w:rFonts w:ascii="Times New Roman" w:hAnsi="Times New Roman" w:cs="Times New Roman"/>
          <w:color w:val="1F1F1F"/>
          <w:sz w:val="24"/>
          <w:szCs w:val="24"/>
        </w:rPr>
        <w:t xml:space="preserve">? </w:t>
      </w:r>
    </w:p>
    <w:p w:rsidR="00DE0B08" w:rsidRPr="00DE0B08" w:rsidRDefault="00363210" w:rsidP="00DE0B08">
      <w:pPr>
        <w:pStyle w:val="a4"/>
        <w:shd w:val="clear" w:color="auto" w:fill="FFFFFF"/>
        <w:spacing w:before="120" w:beforeAutospacing="0" w:after="120" w:afterAutospacing="0" w:line="360" w:lineRule="auto"/>
        <w:ind w:right="-1134"/>
        <w:jc w:val="both"/>
        <w:rPr>
          <w:color w:val="000000" w:themeColor="text1"/>
        </w:rPr>
      </w:pPr>
      <w:r w:rsidRPr="00DE0B08">
        <w:rPr>
          <w:color w:val="000000" w:themeColor="text1"/>
        </w:rPr>
        <w:t>3.</w:t>
      </w:r>
      <w:r w:rsidRPr="00DE0B08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E0B08" w:rsidRPr="00DE0B08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Для каких целей используются </w:t>
      </w:r>
      <w:r w:rsidR="00DE0B08" w:rsidRPr="00DE0B08">
        <w:rPr>
          <w:color w:val="000000" w:themeColor="text1"/>
        </w:rPr>
        <w:t>платёжные  поручения</w:t>
      </w:r>
      <w:proofErr w:type="gramStart"/>
      <w:r w:rsidR="00DE0B08" w:rsidRPr="00DE0B08">
        <w:rPr>
          <w:color w:val="000000" w:themeColor="text1"/>
        </w:rPr>
        <w:t xml:space="preserve"> ?</w:t>
      </w:r>
      <w:proofErr w:type="gramEnd"/>
    </w:p>
    <w:p w:rsidR="00363210" w:rsidRPr="00363210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3210" w:rsidRPr="00363210" w:rsidRDefault="00363210" w:rsidP="00363210">
      <w:pPr>
        <w:ind w:right="-850"/>
        <w:rPr>
          <w:sz w:val="24"/>
          <w:szCs w:val="24"/>
        </w:rPr>
      </w:pPr>
    </w:p>
    <w:p w:rsidR="00846639" w:rsidRDefault="00846639"/>
    <w:sectPr w:rsidR="00846639" w:rsidSect="008161A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2E7BF0"/>
    <w:rsid w:val="00363210"/>
    <w:rsid w:val="00780C74"/>
    <w:rsid w:val="008161A7"/>
    <w:rsid w:val="00846639"/>
    <w:rsid w:val="009231BA"/>
    <w:rsid w:val="00BF6E65"/>
    <w:rsid w:val="00C03B7C"/>
    <w:rsid w:val="00DE0B08"/>
    <w:rsid w:val="00EA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1%82%D0%B5%D0%BB%D1%8C%D1%89%D0%B8%D0%BA" TargetMode="External"/><Relationship Id="rId13" Type="http://schemas.openxmlformats.org/officeDocument/2006/relationships/hyperlink" Target="https://ru.wikisource.org/wiki/%D0%93%D1%80%D0%B0%D0%B6%D0%B4%D0%B0%D0%BD%D1%81%D0%BA%D0%B8%D0%B9_%D0%BA%D0%BE%D0%B4%D0%B5%D0%BA%D1%81_%D0%A0%D0%A4/%D0%93%D0%BB%D0%B0%D0%B2%D0%B0_46" TargetMode="External"/><Relationship Id="rId18" Type="http://schemas.openxmlformats.org/officeDocument/2006/relationships/hyperlink" Target="https://ru.wikipedia.org/w/index.php?title=%D0%94%D0%BE%D0%BB%D0%B3%D0%BE%D1%81%D1%80%D0%BE%D1%87%D0%BD%D0%BE%D0%B5_%D0%BF%D0%BB%D0%B0%D1%82%D1%91%D0%B6%D0%BD%D0%BE%D0%B5_%D0%BF%D0%BE%D1%80%D1%83%D1%87%D0%B5%D0%BD%D0%B8%D0%B5&amp;action=edit&amp;redlink=1" TargetMode="External"/><Relationship Id="rId26" Type="http://schemas.openxmlformats.org/officeDocument/2006/relationships/hyperlink" Target="https://ru.wikipedia.org/wiki/%D0%91%D1%8E%D0%B4%D0%B6%D0%B5%D1%82" TargetMode="External"/><Relationship Id="rId39" Type="http://schemas.openxmlformats.org/officeDocument/2006/relationships/hyperlink" Target="https://ru.wikipedia.org/wiki/%D0%9F%D0%BE%D0%B4%D0%BF%D0%B8%D1%81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9A_%D0%A0%D0%A4" TargetMode="External"/><Relationship Id="rId34" Type="http://schemas.openxmlformats.org/officeDocument/2006/relationships/hyperlink" Target="https://ru.wikipedia.org/wiki/%D0%91%D0%B5%D0%B7%D0%BD%D0%B0%D0%BB%D0%B8%D1%87%D0%BD%D1%8B%D0%B9_%D1%80%D0%B0%D1%81%D1%87%D1%91%D1%82" TargetMode="External"/><Relationship Id="rId42" Type="http://schemas.openxmlformats.org/officeDocument/2006/relationships/hyperlink" Target="https://ru.wikipedia.org/wiki/%D0%A0%D0%B0%D0%B1%D0%BE%D1%87%D0%B8%D0%B9_%D0%B4%D0%B5%D0%BD%D1%8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1%D0%B0%D0%BD%D0%BA%D0%BE%D0%B2%D1%81%D0%BA%D0%B8%D0%B9_%D1%81%D1%87%D1%91%D1%82" TargetMode="External"/><Relationship Id="rId12" Type="http://schemas.openxmlformats.org/officeDocument/2006/relationships/hyperlink" Target="https://ru.wikipedia.org/w/index.php?title=%D0%9F%D0%BE%D0%BB%D1%83%D1%87%D0%B0%D1%82%D0%B5%D0%BB%D1%8C&amp;action=edit&amp;redlink=1" TargetMode="External"/><Relationship Id="rId17" Type="http://schemas.openxmlformats.org/officeDocument/2006/relationships/hyperlink" Target="https://ru.wikipedia.org/w/index.php?title=%D0%97%D0%B0%D1%8F%D0%B2%D0%BB%D0%B5%D0%BD%D0%B8%D0%B5&amp;action=edit&amp;redlink=1" TargetMode="External"/><Relationship Id="rId25" Type="http://schemas.openxmlformats.org/officeDocument/2006/relationships/hyperlink" Target="https://ru.wikipedia.org/wiki/%D0%9F%D0%BB%D0%B0%D1%82%D0%B5%D0%B6" TargetMode="External"/><Relationship Id="rId33" Type="http://schemas.openxmlformats.org/officeDocument/2006/relationships/hyperlink" Target="https://ru.wikipedia.org/wiki/%D0%94%D0%BE%D0%B3%D0%BE%D0%B2%D0%BE%D1%80" TargetMode="External"/><Relationship Id="rId38" Type="http://schemas.openxmlformats.org/officeDocument/2006/relationships/hyperlink" Target="https://ru.wikipedia.org/wiki/%D0%A8%D1%82%D0%B0%D0%BC%D0%B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8%D0%B7%D0%B8%D1%87%D0%B5%D1%81%D0%BA%D0%BE%D0%B5_%D0%BB%D0%B8%D1%86%D0%BE" TargetMode="External"/><Relationship Id="rId20" Type="http://schemas.openxmlformats.org/officeDocument/2006/relationships/hyperlink" Target="https://ru.wikipedia.org/wiki/%D0%92%D1%8B%D0%BF%D0%B8%D1%81%D0%BA%D0%B0_%D0%B8%D0%B7_%D0%B1%D0%B0%D0%BD%D0%BA%D0%B0_%D0%BF%D0%BE_%D1%81%D1%87%D0%B5%D1%82%D1%83" TargetMode="External"/><Relationship Id="rId29" Type="http://schemas.openxmlformats.org/officeDocument/2006/relationships/hyperlink" Target="https://ru.wikipedia.org/wiki/%D0%97%D0%B0%D1%91%D0%BC" TargetMode="External"/><Relationship Id="rId41" Type="http://schemas.openxmlformats.org/officeDocument/2006/relationships/hyperlink" Target="https://ru.wikipedia.org/wiki/%D0%9A%D0%B0%D1%80%D1%82%D0%BE%D1%82%D0%B5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B%D0%B0%D0%B4%D0%B5%D0%BB%D0%B5%D1%86" TargetMode="External"/><Relationship Id="rId11" Type="http://schemas.openxmlformats.org/officeDocument/2006/relationships/hyperlink" Target="https://ru.wikipedia.org/wiki/%D0%94%D0%B5%D0%BD%D1%8C%D0%B3%D0%B8" TargetMode="External"/><Relationship Id="rId24" Type="http://schemas.openxmlformats.org/officeDocument/2006/relationships/hyperlink" Target="https://ru.wikipedia.org/wiki/%D0%A3%D1%81%D0%BB%D1%83%D0%B3%D0%B8" TargetMode="External"/><Relationship Id="rId32" Type="http://schemas.openxmlformats.org/officeDocument/2006/relationships/hyperlink" Target="https://ru.wikipedia.org/wiki/%D0%97%D0%B0%D0%BA%D0%BE%D0%BD%D0%BE%D0%B4%D0%B0%D1%82%D0%B5%D0%BB%D1%8C%D1%81%D1%82%D0%B2%D0%BE" TargetMode="External"/><Relationship Id="rId37" Type="http://schemas.openxmlformats.org/officeDocument/2006/relationships/hyperlink" Target="https://ru.wikipedia.org/wiki/%D0%98%D1%81%D0%BF%D0%BE%D0%BB%D0%BD%D0%B8%D1%82%D0%B5%D0%BB%D1%8C" TargetMode="External"/><Relationship Id="rId40" Type="http://schemas.openxmlformats.org/officeDocument/2006/relationships/hyperlink" Target="https://ru.wikipedia.org/wiki/%D0%9A%D0%BB%D0%B8%D0%B5%D0%BD%D1%82" TargetMode="External"/><Relationship Id="rId45" Type="http://schemas.openxmlformats.org/officeDocument/2006/relationships/image" Target="media/image2.png"/><Relationship Id="rId5" Type="http://schemas.openxmlformats.org/officeDocument/2006/relationships/hyperlink" Target="https://ru.wikipedia.org/wiki/%D0%A0%D0%B0%D1%81%D0%BF%D0%BE%D1%80%D1%8F%D0%B6%D0%B5%D0%BD%D0%B8%D0%B5_%D0%B8%D0%BC%D1%83%D1%89%D0%B5%D1%81%D1%82%D0%B2%D0%BE%D0%BC" TargetMode="External"/><Relationship Id="rId15" Type="http://schemas.openxmlformats.org/officeDocument/2006/relationships/hyperlink" Target="https://ru.wikipedia.org/wiki/%D0%A6%D0%91_%D0%A0%D0%A4" TargetMode="External"/><Relationship Id="rId23" Type="http://schemas.openxmlformats.org/officeDocument/2006/relationships/hyperlink" Target="https://ru.wikipedia.org/wiki/%D0%A0%D0%B0%D0%B1%D0%BE%D1%82%D0%B0" TargetMode="External"/><Relationship Id="rId28" Type="http://schemas.openxmlformats.org/officeDocument/2006/relationships/hyperlink" Target="https://ru.wikipedia.org/wiki/%D0%9A%D1%80%D0%B5%D0%B4%D0%B8%D1%82" TargetMode="External"/><Relationship Id="rId36" Type="http://schemas.openxmlformats.org/officeDocument/2006/relationships/hyperlink" Target="https://ru.wikipedia.org/wiki/%D0%A0%D0%B0%D0%B1%D0%BE%D1%82%D0%BD%D0%B8%D0%BA" TargetMode="External"/><Relationship Id="rId10" Type="http://schemas.openxmlformats.org/officeDocument/2006/relationships/hyperlink" Target="https://ru.wikipedia.org/w/index.php?title=%D0%A0%D0%B0%D1%81%D1%87%D1%91%D1%82%D0%BD%D1%8B%D0%B9_%D0%B4%D0%BE%D0%BA%D1%83%D0%BC%D0%B5%D0%BD%D1%82&amp;action=edit&amp;redlink=1" TargetMode="External"/><Relationship Id="rId19" Type="http://schemas.openxmlformats.org/officeDocument/2006/relationships/hyperlink" Target="https://ru.wikipedia.org/wiki/%D0%AD%D0%BA%D0%B7%D0%B5%D0%BC%D0%BF%D0%BB%D1%8F%D1%80" TargetMode="External"/><Relationship Id="rId31" Type="http://schemas.openxmlformats.org/officeDocument/2006/relationships/hyperlink" Target="https://ru.wikipedia.org/wiki/%D0%9F%D1%80%D0%BE%D1%86%D0%B5%D0%BD%D1%82" TargetMode="External"/><Relationship Id="rId44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D%D0%BA" TargetMode="External"/><Relationship Id="rId14" Type="http://schemas.openxmlformats.org/officeDocument/2006/relationships/hyperlink" Target="https://ru.wikipedia.org/wiki/%D0%9A%D0%BB%D0%B8%D0%B5%D0%BD%D1%82-%D0%B1%D0%B0%D0%BD%D0%BA" TargetMode="External"/><Relationship Id="rId22" Type="http://schemas.openxmlformats.org/officeDocument/2006/relationships/hyperlink" Target="https://ru.wikipedia.org/wiki/%D0%A2%D0%BE%D0%B2%D0%B0%D1%80" TargetMode="External"/><Relationship Id="rId27" Type="http://schemas.openxmlformats.org/officeDocument/2006/relationships/hyperlink" Target="https://ru.wikipedia.org/wiki/%D0%92%D0%BD%D0%B5%D0%B1%D1%8E%D0%B4%D0%B6%D0%B5%D1%82%D0%BD%D1%8B%D0%B9_%D1%84%D0%BE%D0%BD%D0%B4" TargetMode="External"/><Relationship Id="rId30" Type="http://schemas.openxmlformats.org/officeDocument/2006/relationships/hyperlink" Target="https://ru.wikipedia.org/wiki/%D0%94%D0%B5%D0%BF%D0%BE%D0%B7%D0%B8%D1%82" TargetMode="External"/><Relationship Id="rId35" Type="http://schemas.openxmlformats.org/officeDocument/2006/relationships/hyperlink" Target="https://ru.wikipedia.org/wiki/%D0%A1%D1%83%D0%B1%D1%8A%D0%B5%D0%BA%D1%82_%D0%A0%D0%A4" TargetMode="External"/><Relationship Id="rId43" Type="http://schemas.openxmlformats.org/officeDocument/2006/relationships/hyperlink" Target="https://assistentus.ru/wp-content/uploads/2016/09/obrazec-zapolneniya-platezhnogo-poruche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2020-12-05T12:37:00Z</dcterms:created>
  <dcterms:modified xsi:type="dcterms:W3CDTF">2020-12-15T07:24:00Z</dcterms:modified>
</cp:coreProperties>
</file>