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7BF0" w:rsidRPr="008448FF" w:rsidRDefault="00A90039" w:rsidP="00E04446">
      <w:pPr>
        <w:pStyle w:val="a4"/>
        <w:shd w:val="clear" w:color="auto" w:fill="FFFFFF"/>
        <w:spacing w:before="0" w:beforeAutospacing="0" w:after="0" w:afterAutospacing="0" w:line="276" w:lineRule="auto"/>
        <w:ind w:right="-850" w:firstLine="851"/>
        <w:jc w:val="both"/>
        <w:textAlignment w:val="baseline"/>
        <w:rPr>
          <w:bCs/>
          <w:sz w:val="28"/>
          <w:szCs w:val="28"/>
        </w:rPr>
      </w:pPr>
      <w:r>
        <w:rPr>
          <w:bCs/>
          <w:sz w:val="28"/>
          <w:szCs w:val="28"/>
        </w:rPr>
        <w:t>1</w:t>
      </w:r>
      <w:r w:rsidR="00CA65F8">
        <w:rPr>
          <w:bCs/>
          <w:sz w:val="28"/>
          <w:szCs w:val="28"/>
        </w:rPr>
        <w:t>9</w:t>
      </w:r>
      <w:r w:rsidR="002E7BF0" w:rsidRPr="008448FF">
        <w:rPr>
          <w:bCs/>
          <w:sz w:val="28"/>
          <w:szCs w:val="28"/>
        </w:rPr>
        <w:t>.</w:t>
      </w:r>
      <w:r>
        <w:rPr>
          <w:bCs/>
          <w:sz w:val="28"/>
          <w:szCs w:val="28"/>
        </w:rPr>
        <w:t>01</w:t>
      </w:r>
      <w:r w:rsidR="002E7BF0" w:rsidRPr="008448FF">
        <w:rPr>
          <w:bCs/>
          <w:sz w:val="28"/>
          <w:szCs w:val="28"/>
        </w:rPr>
        <w:t>.202</w:t>
      </w:r>
      <w:r>
        <w:rPr>
          <w:bCs/>
          <w:sz w:val="28"/>
          <w:szCs w:val="28"/>
        </w:rPr>
        <w:t>1</w:t>
      </w:r>
      <w:r w:rsidR="002E7BF0" w:rsidRPr="008448FF">
        <w:rPr>
          <w:bCs/>
          <w:sz w:val="28"/>
          <w:szCs w:val="28"/>
        </w:rPr>
        <w:t>г.</w:t>
      </w:r>
    </w:p>
    <w:p w:rsidR="002E7BF0" w:rsidRPr="008448FF" w:rsidRDefault="001B6797" w:rsidP="00E04446">
      <w:pPr>
        <w:pStyle w:val="a4"/>
        <w:shd w:val="clear" w:color="auto" w:fill="FFFFFF"/>
        <w:spacing w:before="0" w:beforeAutospacing="0" w:after="0" w:afterAutospacing="0" w:line="276" w:lineRule="auto"/>
        <w:ind w:right="-850" w:firstLine="851"/>
        <w:jc w:val="both"/>
        <w:textAlignment w:val="baseline"/>
        <w:rPr>
          <w:bCs/>
          <w:sz w:val="28"/>
          <w:szCs w:val="28"/>
        </w:rPr>
      </w:pPr>
      <w:r w:rsidRPr="008448FF">
        <w:rPr>
          <w:bCs/>
          <w:sz w:val="28"/>
          <w:szCs w:val="28"/>
        </w:rPr>
        <w:t>20-ПСО-</w:t>
      </w:r>
      <w:r w:rsidR="00882428">
        <w:rPr>
          <w:bCs/>
          <w:sz w:val="28"/>
          <w:szCs w:val="28"/>
        </w:rPr>
        <w:t>2</w:t>
      </w:r>
      <w:r w:rsidRPr="008448FF">
        <w:rPr>
          <w:bCs/>
          <w:sz w:val="28"/>
          <w:szCs w:val="28"/>
        </w:rPr>
        <w:t>д</w:t>
      </w:r>
    </w:p>
    <w:p w:rsidR="002E7BF0" w:rsidRPr="00256EA8" w:rsidRDefault="001B6797" w:rsidP="00E04446">
      <w:pPr>
        <w:pStyle w:val="a4"/>
        <w:shd w:val="clear" w:color="auto" w:fill="FFFFFF"/>
        <w:spacing w:before="0" w:beforeAutospacing="0" w:after="0" w:afterAutospacing="0" w:line="276" w:lineRule="auto"/>
        <w:ind w:right="-850" w:firstLine="851"/>
        <w:jc w:val="both"/>
        <w:textAlignment w:val="baseline"/>
        <w:rPr>
          <w:bCs/>
        </w:rPr>
      </w:pPr>
      <w:r w:rsidRPr="008448FF">
        <w:rPr>
          <w:bCs/>
          <w:sz w:val="28"/>
          <w:szCs w:val="28"/>
        </w:rPr>
        <w:t>Обществознание  (экономика)</w:t>
      </w:r>
    </w:p>
    <w:p w:rsidR="002E7BF0" w:rsidRPr="00256EA8" w:rsidRDefault="002E7BF0" w:rsidP="00E04446">
      <w:pPr>
        <w:pStyle w:val="a4"/>
        <w:shd w:val="clear" w:color="auto" w:fill="FFFFFF"/>
        <w:spacing w:before="0" w:beforeAutospacing="0" w:after="0" w:afterAutospacing="0" w:line="276" w:lineRule="auto"/>
        <w:ind w:right="-850" w:firstLine="851"/>
        <w:jc w:val="both"/>
        <w:textAlignment w:val="baseline"/>
        <w:rPr>
          <w:bCs/>
        </w:rPr>
      </w:pPr>
    </w:p>
    <w:p w:rsidR="00BA77A5" w:rsidRPr="00BA77A5" w:rsidRDefault="00BA77A5" w:rsidP="00E04446">
      <w:pPr>
        <w:pStyle w:val="a4"/>
        <w:spacing w:before="0" w:beforeAutospacing="0" w:after="0" w:afterAutospacing="0"/>
        <w:ind w:right="-992"/>
        <w:jc w:val="both"/>
        <w:textAlignment w:val="baseline"/>
        <w:rPr>
          <w:color w:val="000000" w:themeColor="text1"/>
        </w:rPr>
      </w:pPr>
      <w:r w:rsidRPr="00BA77A5">
        <w:rPr>
          <w:color w:val="000000" w:themeColor="text1"/>
          <w:bdr w:val="none" w:sz="0" w:space="0" w:color="auto" w:frame="1"/>
        </w:rPr>
        <w:t> </w:t>
      </w:r>
    </w:p>
    <w:p w:rsidR="00CA65F8" w:rsidRDefault="00AB14C3" w:rsidP="00CA65F8">
      <w:pPr>
        <w:spacing w:after="0" w:line="240" w:lineRule="auto"/>
        <w:ind w:hanging="10"/>
        <w:jc w:val="center"/>
        <w:rPr>
          <w:rFonts w:ascii="Times New Roman" w:eastAsia="Times New Roman" w:hAnsi="Times New Roman" w:cs="Times New Roman"/>
          <w:b/>
          <w:bCs/>
          <w:sz w:val="28"/>
          <w:szCs w:val="28"/>
        </w:rPr>
      </w:pPr>
      <w:r w:rsidRPr="00FB2A7E">
        <w:rPr>
          <w:rFonts w:ascii="Times New Roman" w:hAnsi="Times New Roman" w:cs="Times New Roman"/>
          <w:b/>
          <w:color w:val="000000" w:themeColor="text1"/>
          <w:sz w:val="28"/>
          <w:szCs w:val="28"/>
        </w:rPr>
        <w:t xml:space="preserve">                 </w:t>
      </w:r>
      <w:r w:rsidR="00E04446" w:rsidRPr="00FB2A7E">
        <w:rPr>
          <w:rFonts w:ascii="Times New Roman" w:hAnsi="Times New Roman" w:cs="Times New Roman"/>
          <w:b/>
          <w:color w:val="000000" w:themeColor="text1"/>
          <w:sz w:val="28"/>
          <w:szCs w:val="28"/>
        </w:rPr>
        <w:t xml:space="preserve">Тема: </w:t>
      </w:r>
      <w:r w:rsidR="00FB2A7E" w:rsidRPr="00FB2A7E">
        <w:rPr>
          <w:rFonts w:ascii="Times New Roman" w:eastAsia="Times New Roman" w:hAnsi="Times New Roman" w:cs="Times New Roman"/>
          <w:b/>
          <w:bCs/>
          <w:sz w:val="28"/>
          <w:szCs w:val="28"/>
        </w:rPr>
        <w:t>Процент, его сущность и виды</w:t>
      </w:r>
    </w:p>
    <w:p w:rsidR="00FB2A7E" w:rsidRPr="00FB2A7E" w:rsidRDefault="00FB2A7E" w:rsidP="00CA65F8">
      <w:pPr>
        <w:spacing w:after="0" w:line="240" w:lineRule="auto"/>
        <w:ind w:hanging="10"/>
        <w:jc w:val="center"/>
        <w:rPr>
          <w:rFonts w:ascii="Times New Roman" w:eastAsia="Times New Roman" w:hAnsi="Times New Roman" w:cs="Times New Roman"/>
          <w:b/>
          <w:bCs/>
          <w:sz w:val="28"/>
          <w:szCs w:val="28"/>
        </w:rPr>
      </w:pPr>
    </w:p>
    <w:p w:rsidR="00FB2A7E" w:rsidRDefault="00FB2A7E" w:rsidP="00FB2A7E">
      <w:pPr>
        <w:pStyle w:val="a4"/>
        <w:shd w:val="clear" w:color="auto" w:fill="FFFFFF"/>
        <w:spacing w:before="0" w:beforeAutospacing="0" w:after="0" w:afterAutospacing="0" w:line="360" w:lineRule="auto"/>
        <w:ind w:left="300" w:right="-850" w:firstLine="551"/>
        <w:jc w:val="both"/>
        <w:rPr>
          <w:color w:val="000000" w:themeColor="text1"/>
        </w:rPr>
      </w:pPr>
      <w:r w:rsidRPr="00FB2A7E">
        <w:rPr>
          <w:color w:val="000000" w:themeColor="text1"/>
        </w:rPr>
        <w:t>Процент — часть прибыли, которую заемщик выплачивает кредитору за взятый в ссуду денежный капитал. Источником процента выступает прибавочная стоимость, создаваемая в процессе производительного использования ссудного капитала. Процент выражает отношения между кредитором и заемщиком и выступает в форме определенной процентной ставки.</w:t>
      </w:r>
    </w:p>
    <w:p w:rsidR="00FB2A7E" w:rsidRPr="00FB2A7E" w:rsidRDefault="00FB2A7E" w:rsidP="00FB2A7E">
      <w:pPr>
        <w:pStyle w:val="a4"/>
        <w:shd w:val="clear" w:color="auto" w:fill="FFFFFF"/>
        <w:spacing w:before="0" w:beforeAutospacing="0" w:after="0" w:afterAutospacing="0" w:line="360" w:lineRule="auto"/>
        <w:ind w:left="300" w:right="-850" w:firstLine="551"/>
        <w:jc w:val="both"/>
        <w:rPr>
          <w:color w:val="000000" w:themeColor="text1"/>
        </w:rPr>
      </w:pPr>
      <w:r>
        <w:rPr>
          <w:noProof/>
        </w:rPr>
        <w:drawing>
          <wp:inline distT="0" distB="0" distL="0" distR="0">
            <wp:extent cx="5941060" cy="2900305"/>
            <wp:effectExtent l="19050" t="0" r="2540" b="0"/>
            <wp:docPr id="2" name="Рисунок 1" descr="https://studfile.net/html/2706/1067/html_AiuHAc0Fq8.YxVb/img-GzrYY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udfile.net/html/2706/1067/html_AiuHAc0Fq8.YxVb/img-GzrYYO.png"/>
                    <pic:cNvPicPr>
                      <a:picLocks noChangeAspect="1" noChangeArrowheads="1"/>
                    </pic:cNvPicPr>
                  </pic:nvPicPr>
                  <pic:blipFill>
                    <a:blip r:embed="rId6"/>
                    <a:srcRect/>
                    <a:stretch>
                      <a:fillRect/>
                    </a:stretch>
                  </pic:blipFill>
                  <pic:spPr bwMode="auto">
                    <a:xfrm>
                      <a:off x="0" y="0"/>
                      <a:ext cx="5941060" cy="2900305"/>
                    </a:xfrm>
                    <a:prstGeom prst="rect">
                      <a:avLst/>
                    </a:prstGeom>
                    <a:noFill/>
                    <a:ln w="9525">
                      <a:noFill/>
                      <a:miter lim="800000"/>
                      <a:headEnd/>
                      <a:tailEnd/>
                    </a:ln>
                  </pic:spPr>
                </pic:pic>
              </a:graphicData>
            </a:graphic>
          </wp:inline>
        </w:drawing>
      </w:r>
    </w:p>
    <w:p w:rsidR="00FB2A7E" w:rsidRPr="00FB2A7E" w:rsidRDefault="00FB2A7E" w:rsidP="00FB2A7E">
      <w:pPr>
        <w:pStyle w:val="a4"/>
        <w:shd w:val="clear" w:color="auto" w:fill="FFFFFF"/>
        <w:spacing w:before="0" w:beforeAutospacing="0" w:after="0" w:afterAutospacing="0" w:line="360" w:lineRule="auto"/>
        <w:ind w:left="300" w:right="-850" w:firstLine="551"/>
        <w:jc w:val="both"/>
        <w:rPr>
          <w:color w:val="000000" w:themeColor="text1"/>
        </w:rPr>
      </w:pPr>
      <w:r w:rsidRPr="00FB2A7E">
        <w:rPr>
          <w:color w:val="000000" w:themeColor="text1"/>
        </w:rPr>
        <w:t>Процент как экономическая категория имеет свою сферу функционирования и соответствующие функции:</w:t>
      </w:r>
    </w:p>
    <w:p w:rsidR="00FB2A7E" w:rsidRPr="00FB2A7E" w:rsidRDefault="00FB2A7E" w:rsidP="00FB2A7E">
      <w:pPr>
        <w:pStyle w:val="a4"/>
        <w:shd w:val="clear" w:color="auto" w:fill="FFFFFF"/>
        <w:spacing w:before="0" w:beforeAutospacing="0" w:after="0" w:afterAutospacing="0" w:line="360" w:lineRule="auto"/>
        <w:ind w:left="300" w:right="-850" w:firstLine="551"/>
        <w:jc w:val="both"/>
        <w:rPr>
          <w:color w:val="000000" w:themeColor="text1"/>
        </w:rPr>
      </w:pPr>
      <w:proofErr w:type="spellStart"/>
      <w:r w:rsidRPr="00FB2A7E">
        <w:rPr>
          <w:color w:val="000000" w:themeColor="text1"/>
        </w:rPr>
        <w:t>перераспределительную</w:t>
      </w:r>
      <w:proofErr w:type="spellEnd"/>
      <w:r w:rsidRPr="00FB2A7E">
        <w:rPr>
          <w:color w:val="000000" w:themeColor="text1"/>
        </w:rPr>
        <w:t xml:space="preserve"> — перераспределение части доходов между субъектами хозяйствования и населением в пользу тех или других посредством процента, который является основой формирования процентных доходов банковских учреждений;</w:t>
      </w:r>
    </w:p>
    <w:p w:rsidR="00FB2A7E" w:rsidRPr="00FB2A7E" w:rsidRDefault="00FB2A7E" w:rsidP="00FB2A7E">
      <w:pPr>
        <w:pStyle w:val="a4"/>
        <w:shd w:val="clear" w:color="auto" w:fill="FFFFFF"/>
        <w:spacing w:before="0" w:beforeAutospacing="0" w:after="0" w:afterAutospacing="0" w:line="360" w:lineRule="auto"/>
        <w:ind w:left="300" w:right="-850" w:firstLine="551"/>
        <w:jc w:val="both"/>
        <w:rPr>
          <w:color w:val="000000" w:themeColor="text1"/>
        </w:rPr>
      </w:pPr>
      <w:proofErr w:type="gramStart"/>
      <w:r w:rsidRPr="00FB2A7E">
        <w:rPr>
          <w:color w:val="000000" w:themeColor="text1"/>
        </w:rPr>
        <w:t>регулирующую</w:t>
      </w:r>
      <w:proofErr w:type="gramEnd"/>
      <w:r w:rsidRPr="00FB2A7E">
        <w:rPr>
          <w:color w:val="000000" w:themeColor="text1"/>
        </w:rPr>
        <w:t xml:space="preserve"> — регулирует воздействие на производство путем распределения ссудного фонда между отраслями, субъектами хозяйствования и населением, а также используется в системе инструментов денежно-кредитной политики;</w:t>
      </w:r>
    </w:p>
    <w:p w:rsidR="00FB2A7E" w:rsidRPr="00FB2A7E" w:rsidRDefault="00FB2A7E" w:rsidP="00FB2A7E">
      <w:pPr>
        <w:pStyle w:val="a4"/>
        <w:shd w:val="clear" w:color="auto" w:fill="FFFFFF"/>
        <w:spacing w:before="0" w:beforeAutospacing="0" w:after="0" w:afterAutospacing="0" w:line="360" w:lineRule="auto"/>
        <w:ind w:left="300" w:right="-850" w:firstLine="551"/>
        <w:jc w:val="both"/>
        <w:rPr>
          <w:color w:val="000000" w:themeColor="text1"/>
        </w:rPr>
      </w:pPr>
      <w:r w:rsidRPr="00FB2A7E">
        <w:rPr>
          <w:color w:val="000000" w:themeColor="text1"/>
        </w:rPr>
        <w:t>функцию сохранения ссудного фонда, при котором сохраняется не только первоначальный размер кредитных ресурсов, но и происходит его увеличение за счет разности между процентами за размещенные и привлеченные ресурсы.</w:t>
      </w:r>
    </w:p>
    <w:p w:rsidR="00FB2A7E" w:rsidRPr="00FB2A7E" w:rsidRDefault="00FB2A7E" w:rsidP="00FB2A7E">
      <w:pPr>
        <w:pStyle w:val="a4"/>
        <w:shd w:val="clear" w:color="auto" w:fill="FFFFFF"/>
        <w:spacing w:before="0" w:beforeAutospacing="0" w:after="0" w:afterAutospacing="0" w:line="360" w:lineRule="auto"/>
        <w:ind w:left="300" w:right="-850" w:firstLine="551"/>
        <w:jc w:val="both"/>
        <w:rPr>
          <w:color w:val="000000" w:themeColor="text1"/>
        </w:rPr>
      </w:pPr>
      <w:r w:rsidRPr="00FB2A7E">
        <w:rPr>
          <w:color w:val="000000" w:themeColor="text1"/>
        </w:rPr>
        <w:t xml:space="preserve">Процентная ставка определяется в соответствии с конкретными условиями использования ссудного капитала и является объектом денежного и кредитного регулирования со стороны центрального банка. Величина процентных ставок способствует притоку денежного капитала на внутренний рынок с денежных рынков других стран либо его оттоку, поэтому мобильность </w:t>
      </w:r>
      <w:r w:rsidRPr="00FB2A7E">
        <w:rPr>
          <w:color w:val="000000" w:themeColor="text1"/>
        </w:rPr>
        <w:lastRenderedPageBreak/>
        <w:t>денежного капитала на этих рынках очень высокая, а его движение между различными национальными денежными рынками отражается в процентных ставках.</w:t>
      </w:r>
    </w:p>
    <w:p w:rsidR="00FB2A7E" w:rsidRPr="00FB2A7E" w:rsidRDefault="00FB2A7E" w:rsidP="00FB2A7E">
      <w:pPr>
        <w:pStyle w:val="a4"/>
        <w:shd w:val="clear" w:color="auto" w:fill="FFFFFF"/>
        <w:spacing w:before="0" w:beforeAutospacing="0" w:after="0" w:afterAutospacing="0" w:line="360" w:lineRule="auto"/>
        <w:ind w:left="300" w:right="-850" w:firstLine="551"/>
        <w:jc w:val="both"/>
        <w:rPr>
          <w:color w:val="000000" w:themeColor="text1"/>
        </w:rPr>
      </w:pPr>
      <w:r w:rsidRPr="00FB2A7E">
        <w:rPr>
          <w:color w:val="000000" w:themeColor="text1"/>
        </w:rPr>
        <w:t>Существует также ряд факторов, влияющих не столько на спрос и предложение, сколько на величину ставок процента. К ним можно отнести ожидаемые темпы инфляции, кредитные риски, налоги, движение валютного курса и др.</w:t>
      </w:r>
    </w:p>
    <w:p w:rsidR="00FB2A7E" w:rsidRPr="00FB2A7E" w:rsidRDefault="00FB2A7E" w:rsidP="00FB2A7E">
      <w:pPr>
        <w:pStyle w:val="a4"/>
        <w:shd w:val="clear" w:color="auto" w:fill="FFFFFF"/>
        <w:spacing w:before="0" w:beforeAutospacing="0" w:after="0" w:afterAutospacing="0" w:line="360" w:lineRule="auto"/>
        <w:ind w:left="300" w:right="-850" w:firstLine="551"/>
        <w:jc w:val="both"/>
        <w:rPr>
          <w:color w:val="000000" w:themeColor="text1"/>
        </w:rPr>
      </w:pPr>
      <w:proofErr w:type="gramStart"/>
      <w:r w:rsidRPr="00FB2A7E">
        <w:rPr>
          <w:color w:val="000000" w:themeColor="text1"/>
        </w:rPr>
        <w:t>Процентные (учетные) ставки, устанавливаемые центральными банками, — один из важнейших инструментов, с помощью которого осуществляется внутренняя и внешняя экономическая политика, поэтому основой ставок денежного рынка является официальная учетная ставка (фиксируемая) или текущие ставки по операциям центрального банка.</w:t>
      </w:r>
      <w:proofErr w:type="gramEnd"/>
      <w:r w:rsidRPr="00FB2A7E">
        <w:rPr>
          <w:color w:val="000000" w:themeColor="text1"/>
        </w:rPr>
        <w:t xml:space="preserve"> Эти ставки почти всегда ниже других ставок денежного рынка, поскольку операции по учету центральным банком коммерческих векселей практически не сопряжены с риском.</w:t>
      </w:r>
    </w:p>
    <w:p w:rsidR="00FB2A7E" w:rsidRPr="00FB2A7E" w:rsidRDefault="00FB2A7E" w:rsidP="00FB2A7E">
      <w:pPr>
        <w:pStyle w:val="a4"/>
        <w:shd w:val="clear" w:color="auto" w:fill="FFFFFF"/>
        <w:spacing w:before="0" w:beforeAutospacing="0" w:after="0" w:afterAutospacing="0" w:line="360" w:lineRule="auto"/>
        <w:ind w:left="300" w:right="-850" w:firstLine="551"/>
        <w:jc w:val="both"/>
        <w:rPr>
          <w:color w:val="000000" w:themeColor="text1"/>
        </w:rPr>
      </w:pPr>
      <w:r w:rsidRPr="00FB2A7E">
        <w:rPr>
          <w:color w:val="000000" w:themeColor="text1"/>
        </w:rPr>
        <w:t>Коммерческие банки устанавливают ставки процентов, ориентируясь на учетные ставки, принятые в центральных банках своих стран. Большое значение в структуре процентных ставок имеют проценты по вкладам банковских клиентов. Проценты, выплачиваемые банками их клиентам, всегда существенно ниже процентов по кредитам (за счет этой разницы формируется один из главных источников банковской прибыли — процентная маржа).</w:t>
      </w:r>
    </w:p>
    <w:p w:rsidR="00FB2A7E" w:rsidRPr="00FB2A7E" w:rsidRDefault="00FB2A7E" w:rsidP="00FB2A7E">
      <w:pPr>
        <w:pStyle w:val="a4"/>
        <w:shd w:val="clear" w:color="auto" w:fill="FFFFFF"/>
        <w:spacing w:before="0" w:beforeAutospacing="0" w:after="0" w:afterAutospacing="0" w:line="360" w:lineRule="auto"/>
        <w:ind w:left="300" w:right="-850" w:firstLine="551"/>
        <w:jc w:val="both"/>
        <w:rPr>
          <w:color w:val="000000" w:themeColor="text1"/>
        </w:rPr>
      </w:pPr>
      <w:r w:rsidRPr="00FB2A7E">
        <w:rPr>
          <w:color w:val="000000" w:themeColor="text1"/>
        </w:rPr>
        <w:t>Виды процента</w:t>
      </w:r>
    </w:p>
    <w:p w:rsidR="00FB2A7E" w:rsidRPr="00FB2A7E" w:rsidRDefault="00FB2A7E" w:rsidP="00FB2A7E">
      <w:pPr>
        <w:pStyle w:val="a4"/>
        <w:shd w:val="clear" w:color="auto" w:fill="FFFFFF"/>
        <w:spacing w:before="0" w:beforeAutospacing="0" w:after="0" w:afterAutospacing="0" w:line="360" w:lineRule="auto"/>
        <w:ind w:left="300" w:right="-850" w:firstLine="551"/>
        <w:jc w:val="both"/>
        <w:rPr>
          <w:color w:val="000000" w:themeColor="text1"/>
        </w:rPr>
      </w:pPr>
      <w:r w:rsidRPr="00FB2A7E">
        <w:rPr>
          <w:color w:val="000000" w:themeColor="text1"/>
        </w:rPr>
        <w:t>депозитный — процент, выплачиваемый клиентам банком по привлеченным вкладам (депозитам);</w:t>
      </w:r>
    </w:p>
    <w:p w:rsidR="00FB2A7E" w:rsidRPr="00FB2A7E" w:rsidRDefault="00FB2A7E" w:rsidP="00FB2A7E">
      <w:pPr>
        <w:pStyle w:val="a4"/>
        <w:shd w:val="clear" w:color="auto" w:fill="FFFFFF"/>
        <w:spacing w:before="0" w:beforeAutospacing="0" w:after="0" w:afterAutospacing="0" w:line="360" w:lineRule="auto"/>
        <w:ind w:left="300" w:right="-850" w:firstLine="551"/>
        <w:jc w:val="both"/>
        <w:rPr>
          <w:color w:val="000000" w:themeColor="text1"/>
        </w:rPr>
      </w:pPr>
      <w:proofErr w:type="gramStart"/>
      <w:r w:rsidRPr="00FB2A7E">
        <w:rPr>
          <w:color w:val="000000" w:themeColor="text1"/>
        </w:rPr>
        <w:t>ссудный</w:t>
      </w:r>
      <w:proofErr w:type="gramEnd"/>
      <w:r w:rsidRPr="00FB2A7E">
        <w:rPr>
          <w:color w:val="000000" w:themeColor="text1"/>
        </w:rPr>
        <w:t xml:space="preserve"> — плата, получаемая кредитором (банком) от заемщика за пользование заемными средствами (ссудой);</w:t>
      </w:r>
    </w:p>
    <w:p w:rsidR="00FB2A7E" w:rsidRDefault="00FB2A7E" w:rsidP="00FB2A7E">
      <w:pPr>
        <w:pStyle w:val="a4"/>
        <w:shd w:val="clear" w:color="auto" w:fill="FFFFFF"/>
        <w:spacing w:before="0" w:beforeAutospacing="0" w:after="0" w:afterAutospacing="0" w:line="360" w:lineRule="auto"/>
        <w:ind w:left="300" w:right="-850" w:firstLine="551"/>
        <w:jc w:val="both"/>
        <w:rPr>
          <w:color w:val="000000" w:themeColor="text1"/>
        </w:rPr>
      </w:pPr>
      <w:r w:rsidRPr="00FB2A7E">
        <w:rPr>
          <w:color w:val="000000" w:themeColor="text1"/>
        </w:rPr>
        <w:t>учетный — ставка по рефинансированию, уровень платы за кредитные ресурсы, предоставляемые центральным банком другим банкам.</w:t>
      </w:r>
    </w:p>
    <w:p w:rsidR="002873B2" w:rsidRPr="00FB2A7E" w:rsidRDefault="002873B2" w:rsidP="00FB2A7E">
      <w:pPr>
        <w:pStyle w:val="a4"/>
        <w:shd w:val="clear" w:color="auto" w:fill="FFFFFF"/>
        <w:spacing w:before="0" w:beforeAutospacing="0" w:after="0" w:afterAutospacing="0" w:line="360" w:lineRule="auto"/>
        <w:ind w:left="300" w:right="-850" w:firstLine="551"/>
        <w:jc w:val="both"/>
        <w:rPr>
          <w:color w:val="000000" w:themeColor="text1"/>
        </w:rPr>
      </w:pPr>
    </w:p>
    <w:p w:rsidR="009231BA" w:rsidRPr="00AB14C3" w:rsidRDefault="009231BA" w:rsidP="00CA65F8">
      <w:pPr>
        <w:pStyle w:val="a4"/>
        <w:shd w:val="clear" w:color="auto" w:fill="FFFFFF"/>
        <w:spacing w:before="0" w:beforeAutospacing="0" w:after="0" w:afterAutospacing="0" w:line="360" w:lineRule="auto"/>
        <w:ind w:right="-850"/>
        <w:jc w:val="both"/>
        <w:textAlignment w:val="baseline"/>
        <w:rPr>
          <w:b/>
        </w:rPr>
      </w:pPr>
      <w:r w:rsidRPr="00AB14C3">
        <w:rPr>
          <w:b/>
        </w:rPr>
        <w:t>Контрольные вопросы по теме:</w:t>
      </w:r>
    </w:p>
    <w:p w:rsidR="008E65D7" w:rsidRPr="00AB14C3" w:rsidRDefault="008E65D7" w:rsidP="006A48D8">
      <w:pPr>
        <w:shd w:val="clear" w:color="auto" w:fill="FFFFFF"/>
        <w:spacing w:after="0" w:line="360" w:lineRule="auto"/>
        <w:jc w:val="both"/>
        <w:rPr>
          <w:rFonts w:ascii="Times New Roman" w:eastAsia="Times New Roman" w:hAnsi="Times New Roman" w:cs="Times New Roman"/>
          <w:color w:val="000000"/>
          <w:sz w:val="24"/>
          <w:szCs w:val="24"/>
        </w:rPr>
      </w:pPr>
      <w:r w:rsidRPr="00AB14C3">
        <w:rPr>
          <w:rFonts w:ascii="Times New Roman" w:eastAsia="Times New Roman" w:hAnsi="Times New Roman" w:cs="Times New Roman"/>
          <w:bCs/>
          <w:color w:val="000000"/>
          <w:sz w:val="24"/>
          <w:szCs w:val="24"/>
        </w:rPr>
        <w:t>1.</w:t>
      </w:r>
      <w:r w:rsidR="00AB14C3" w:rsidRPr="00AB14C3">
        <w:rPr>
          <w:rFonts w:ascii="Times New Roman" w:eastAsia="Times New Roman" w:hAnsi="Times New Roman" w:cs="Times New Roman"/>
          <w:bCs/>
          <w:color w:val="000000"/>
          <w:sz w:val="24"/>
          <w:szCs w:val="24"/>
        </w:rPr>
        <w:t xml:space="preserve"> </w:t>
      </w:r>
      <w:r w:rsidR="002873B2">
        <w:rPr>
          <w:rFonts w:ascii="Times New Roman" w:eastAsia="Times New Roman" w:hAnsi="Times New Roman" w:cs="Times New Roman"/>
          <w:bCs/>
          <w:color w:val="000000"/>
          <w:sz w:val="24"/>
          <w:szCs w:val="24"/>
        </w:rPr>
        <w:t xml:space="preserve">Что такое </w:t>
      </w:r>
      <w:r w:rsidR="002873B2">
        <w:rPr>
          <w:rFonts w:ascii="Times New Roman" w:hAnsi="Times New Roman" w:cs="Times New Roman"/>
          <w:color w:val="000000" w:themeColor="text1"/>
          <w:sz w:val="24"/>
          <w:szCs w:val="24"/>
        </w:rPr>
        <w:t>процент</w:t>
      </w:r>
      <w:r w:rsidRPr="00AB14C3">
        <w:rPr>
          <w:rFonts w:ascii="Times New Roman" w:eastAsia="Times New Roman" w:hAnsi="Times New Roman" w:cs="Times New Roman"/>
          <w:bCs/>
          <w:color w:val="000000"/>
          <w:sz w:val="24"/>
          <w:szCs w:val="24"/>
        </w:rPr>
        <w:t>?</w:t>
      </w:r>
    </w:p>
    <w:p w:rsidR="008448FF" w:rsidRPr="00AB14C3" w:rsidRDefault="008E65D7" w:rsidP="006A48D8">
      <w:pPr>
        <w:pStyle w:val="4"/>
        <w:spacing w:before="0" w:line="360" w:lineRule="auto"/>
        <w:rPr>
          <w:rFonts w:ascii="Times New Roman" w:hAnsi="Times New Roman" w:cs="Times New Roman"/>
          <w:b w:val="0"/>
          <w:i w:val="0"/>
          <w:color w:val="000000" w:themeColor="text1"/>
          <w:sz w:val="24"/>
          <w:szCs w:val="24"/>
        </w:rPr>
      </w:pPr>
      <w:r w:rsidRPr="00AB14C3">
        <w:rPr>
          <w:rFonts w:ascii="Times New Roman" w:eastAsia="Times New Roman" w:hAnsi="Times New Roman" w:cs="Times New Roman"/>
          <w:b w:val="0"/>
          <w:i w:val="0"/>
          <w:color w:val="000000"/>
          <w:sz w:val="24"/>
          <w:szCs w:val="24"/>
        </w:rPr>
        <w:t xml:space="preserve">2. </w:t>
      </w:r>
      <w:r w:rsidR="002873B2">
        <w:rPr>
          <w:rFonts w:ascii="Times New Roman" w:eastAsia="Times New Roman" w:hAnsi="Times New Roman" w:cs="Times New Roman"/>
          <w:b w:val="0"/>
          <w:i w:val="0"/>
          <w:color w:val="000000"/>
          <w:sz w:val="24"/>
          <w:szCs w:val="24"/>
        </w:rPr>
        <w:t>Виды процентов</w:t>
      </w:r>
      <w:r w:rsidR="008448FF" w:rsidRPr="00AB14C3">
        <w:rPr>
          <w:rFonts w:ascii="Times New Roman" w:hAnsi="Times New Roman" w:cs="Times New Roman"/>
          <w:b w:val="0"/>
          <w:i w:val="0"/>
          <w:color w:val="000000" w:themeColor="text1"/>
          <w:sz w:val="24"/>
          <w:szCs w:val="24"/>
        </w:rPr>
        <w:t>?</w:t>
      </w:r>
    </w:p>
    <w:p w:rsidR="00AB14C3" w:rsidRPr="00AB14C3" w:rsidRDefault="00AB14C3" w:rsidP="00AB14C3">
      <w:pPr>
        <w:rPr>
          <w:rFonts w:ascii="Times New Roman" w:hAnsi="Times New Roman" w:cs="Times New Roman"/>
          <w:sz w:val="24"/>
          <w:szCs w:val="24"/>
        </w:rPr>
      </w:pPr>
      <w:r w:rsidRPr="00AB14C3">
        <w:rPr>
          <w:rFonts w:ascii="Times New Roman" w:hAnsi="Times New Roman" w:cs="Times New Roman"/>
          <w:sz w:val="24"/>
          <w:szCs w:val="24"/>
        </w:rPr>
        <w:t>3.</w:t>
      </w:r>
      <w:r w:rsidRPr="00AB14C3">
        <w:rPr>
          <w:rFonts w:ascii="Times New Roman" w:hAnsi="Times New Roman" w:cs="Times New Roman"/>
          <w:color w:val="000000" w:themeColor="text1"/>
          <w:sz w:val="24"/>
          <w:szCs w:val="24"/>
        </w:rPr>
        <w:t xml:space="preserve">  </w:t>
      </w:r>
      <w:r w:rsidR="002873B2">
        <w:rPr>
          <w:rFonts w:ascii="Times New Roman" w:hAnsi="Times New Roman" w:cs="Times New Roman"/>
          <w:color w:val="000000" w:themeColor="text1"/>
          <w:sz w:val="24"/>
          <w:szCs w:val="24"/>
        </w:rPr>
        <w:t>Процентные (учетные) ставки</w:t>
      </w:r>
      <w:r w:rsidR="002873B2" w:rsidRPr="00AB14C3">
        <w:rPr>
          <w:rFonts w:ascii="Times New Roman" w:hAnsi="Times New Roman" w:cs="Times New Roman"/>
          <w:color w:val="000000" w:themeColor="text1"/>
          <w:sz w:val="24"/>
          <w:szCs w:val="24"/>
        </w:rPr>
        <w:t xml:space="preserve"> </w:t>
      </w:r>
      <w:r w:rsidRPr="00AB14C3">
        <w:rPr>
          <w:rFonts w:ascii="Times New Roman" w:hAnsi="Times New Roman" w:cs="Times New Roman"/>
          <w:color w:val="000000" w:themeColor="text1"/>
          <w:sz w:val="24"/>
          <w:szCs w:val="24"/>
        </w:rPr>
        <w:t>–это?</w:t>
      </w:r>
    </w:p>
    <w:p w:rsidR="00AB14C3" w:rsidRPr="00AB14C3" w:rsidRDefault="00AB14C3" w:rsidP="00AB14C3"/>
    <w:p w:rsidR="008E65D7" w:rsidRPr="006A48D8" w:rsidRDefault="008E65D7" w:rsidP="006A48D8">
      <w:pPr>
        <w:shd w:val="clear" w:color="auto" w:fill="FFFFFF"/>
        <w:spacing w:after="0" w:line="360" w:lineRule="auto"/>
        <w:jc w:val="both"/>
        <w:rPr>
          <w:rFonts w:ascii="Times New Roman" w:eastAsia="Times New Roman" w:hAnsi="Times New Roman" w:cs="Times New Roman"/>
          <w:color w:val="000000"/>
          <w:sz w:val="28"/>
          <w:szCs w:val="28"/>
        </w:rPr>
      </w:pPr>
    </w:p>
    <w:sectPr w:rsidR="008E65D7" w:rsidRPr="006A48D8" w:rsidSect="00E04446">
      <w:pgSz w:w="11906" w:h="16838"/>
      <w:pgMar w:top="709" w:right="1841" w:bottom="1134"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3E6EDA"/>
    <w:multiLevelType w:val="multilevel"/>
    <w:tmpl w:val="C08C4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8C123A8"/>
    <w:multiLevelType w:val="multilevel"/>
    <w:tmpl w:val="49363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94E5A50"/>
    <w:multiLevelType w:val="multilevel"/>
    <w:tmpl w:val="F18C4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3D21DD"/>
    <w:multiLevelType w:val="multilevel"/>
    <w:tmpl w:val="BA70F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3E613BC"/>
    <w:multiLevelType w:val="multilevel"/>
    <w:tmpl w:val="A84CFC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58B2AA9"/>
    <w:multiLevelType w:val="multilevel"/>
    <w:tmpl w:val="BA7824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6485380"/>
    <w:multiLevelType w:val="multilevel"/>
    <w:tmpl w:val="222072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BC42C8D"/>
    <w:multiLevelType w:val="multilevel"/>
    <w:tmpl w:val="CA06F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C323E76"/>
    <w:multiLevelType w:val="multilevel"/>
    <w:tmpl w:val="FA681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60781F70"/>
    <w:multiLevelType w:val="multilevel"/>
    <w:tmpl w:val="6CB02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6569433B"/>
    <w:multiLevelType w:val="multilevel"/>
    <w:tmpl w:val="D7882D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917377C"/>
    <w:multiLevelType w:val="multilevel"/>
    <w:tmpl w:val="81DEB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BEE2B7A"/>
    <w:multiLevelType w:val="multilevel"/>
    <w:tmpl w:val="3D507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E6656A7"/>
    <w:multiLevelType w:val="multilevel"/>
    <w:tmpl w:val="3E301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3"/>
  </w:num>
  <w:num w:numId="3">
    <w:abstractNumId w:val="9"/>
  </w:num>
  <w:num w:numId="4">
    <w:abstractNumId w:val="8"/>
  </w:num>
  <w:num w:numId="5">
    <w:abstractNumId w:val="5"/>
  </w:num>
  <w:num w:numId="6">
    <w:abstractNumId w:val="3"/>
  </w:num>
  <w:num w:numId="7">
    <w:abstractNumId w:val="10"/>
  </w:num>
  <w:num w:numId="8">
    <w:abstractNumId w:val="1"/>
  </w:num>
  <w:num w:numId="9">
    <w:abstractNumId w:val="7"/>
  </w:num>
  <w:num w:numId="10">
    <w:abstractNumId w:val="11"/>
  </w:num>
  <w:num w:numId="11">
    <w:abstractNumId w:val="2"/>
  </w:num>
  <w:num w:numId="12">
    <w:abstractNumId w:val="6"/>
  </w:num>
  <w:num w:numId="13">
    <w:abstractNumId w:val="4"/>
  </w:num>
  <w:num w:numId="14">
    <w:abstractNumId w:val="12"/>
  </w:num>
  <w:num w:numId="1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63210"/>
    <w:rsid w:val="000925EF"/>
    <w:rsid w:val="001B6797"/>
    <w:rsid w:val="001E2275"/>
    <w:rsid w:val="00256EA8"/>
    <w:rsid w:val="002873B2"/>
    <w:rsid w:val="002E7BF0"/>
    <w:rsid w:val="00334EE0"/>
    <w:rsid w:val="0036077C"/>
    <w:rsid w:val="00363210"/>
    <w:rsid w:val="0043593D"/>
    <w:rsid w:val="004B598D"/>
    <w:rsid w:val="00531D24"/>
    <w:rsid w:val="00546637"/>
    <w:rsid w:val="00583E78"/>
    <w:rsid w:val="006A48D8"/>
    <w:rsid w:val="006B231C"/>
    <w:rsid w:val="007675D9"/>
    <w:rsid w:val="008161A7"/>
    <w:rsid w:val="008448FF"/>
    <w:rsid w:val="00846639"/>
    <w:rsid w:val="008702DC"/>
    <w:rsid w:val="00882428"/>
    <w:rsid w:val="008E65D7"/>
    <w:rsid w:val="009231BA"/>
    <w:rsid w:val="00A90039"/>
    <w:rsid w:val="00AB14C3"/>
    <w:rsid w:val="00B05624"/>
    <w:rsid w:val="00B1750B"/>
    <w:rsid w:val="00BA77A5"/>
    <w:rsid w:val="00BD7530"/>
    <w:rsid w:val="00BE31E5"/>
    <w:rsid w:val="00BF6E65"/>
    <w:rsid w:val="00C03B7C"/>
    <w:rsid w:val="00C84E31"/>
    <w:rsid w:val="00CA65F8"/>
    <w:rsid w:val="00DA00A9"/>
    <w:rsid w:val="00DE0B08"/>
    <w:rsid w:val="00E04446"/>
    <w:rsid w:val="00E16407"/>
    <w:rsid w:val="00E51BC8"/>
    <w:rsid w:val="00E87E00"/>
    <w:rsid w:val="00EA78A4"/>
    <w:rsid w:val="00ED70B1"/>
    <w:rsid w:val="00FB2A7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6E65"/>
  </w:style>
  <w:style w:type="paragraph" w:styleId="1">
    <w:name w:val="heading 1"/>
    <w:basedOn w:val="a"/>
    <w:next w:val="a"/>
    <w:link w:val="10"/>
    <w:uiPriority w:val="9"/>
    <w:qFormat/>
    <w:rsid w:val="00363210"/>
    <w:pPr>
      <w:keepNext/>
      <w:keepLines/>
      <w:spacing w:before="240" w:after="0"/>
      <w:outlineLvl w:val="0"/>
    </w:pPr>
    <w:rPr>
      <w:rFonts w:asciiTheme="majorHAnsi" w:eastAsiaTheme="majorEastAsia" w:hAnsiTheme="majorHAnsi" w:cstheme="majorBidi"/>
      <w:color w:val="365F91" w:themeColor="accent1" w:themeShade="BF"/>
      <w:sz w:val="32"/>
      <w:szCs w:val="32"/>
      <w:lang w:eastAsia="en-US"/>
    </w:rPr>
  </w:style>
  <w:style w:type="paragraph" w:styleId="2">
    <w:name w:val="heading 2"/>
    <w:basedOn w:val="a"/>
    <w:next w:val="a"/>
    <w:link w:val="20"/>
    <w:uiPriority w:val="9"/>
    <w:unhideWhenUsed/>
    <w:qFormat/>
    <w:rsid w:val="0036321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BA77A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8448F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63210"/>
    <w:rPr>
      <w:rFonts w:asciiTheme="majorHAnsi" w:eastAsiaTheme="majorEastAsia" w:hAnsiTheme="majorHAnsi" w:cstheme="majorBidi"/>
      <w:color w:val="365F91" w:themeColor="accent1" w:themeShade="BF"/>
      <w:sz w:val="32"/>
      <w:szCs w:val="32"/>
      <w:lang w:eastAsia="en-US"/>
    </w:rPr>
  </w:style>
  <w:style w:type="character" w:customStyle="1" w:styleId="20">
    <w:name w:val="Заголовок 2 Знак"/>
    <w:basedOn w:val="a0"/>
    <w:link w:val="2"/>
    <w:uiPriority w:val="9"/>
    <w:rsid w:val="00363210"/>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BA77A5"/>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8448FF"/>
    <w:rPr>
      <w:rFonts w:asciiTheme="majorHAnsi" w:eastAsiaTheme="majorEastAsia" w:hAnsiTheme="majorHAnsi" w:cstheme="majorBidi"/>
      <w:b/>
      <w:bCs/>
      <w:i/>
      <w:iCs/>
      <w:color w:val="4F81BD" w:themeColor="accent1"/>
    </w:rPr>
  </w:style>
  <w:style w:type="table" w:styleId="a3">
    <w:name w:val="Table Grid"/>
    <w:basedOn w:val="a1"/>
    <w:uiPriority w:val="59"/>
    <w:rsid w:val="00363210"/>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363210"/>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unhideWhenUsed/>
    <w:rsid w:val="00363210"/>
    <w:rPr>
      <w:color w:val="0000FF"/>
      <w:u w:val="single"/>
    </w:rPr>
  </w:style>
  <w:style w:type="character" w:styleId="a6">
    <w:name w:val="Strong"/>
    <w:basedOn w:val="a0"/>
    <w:uiPriority w:val="22"/>
    <w:qFormat/>
    <w:rsid w:val="00363210"/>
    <w:rPr>
      <w:b/>
      <w:bCs/>
    </w:rPr>
  </w:style>
  <w:style w:type="character" w:customStyle="1" w:styleId="FontStyle38">
    <w:name w:val="Font Style38"/>
    <w:uiPriority w:val="99"/>
    <w:rsid w:val="00C03B7C"/>
    <w:rPr>
      <w:rFonts w:ascii="Times New Roman" w:hAnsi="Times New Roman" w:cs="Times New Roman" w:hint="default"/>
      <w:b/>
      <w:bCs/>
      <w:sz w:val="26"/>
      <w:szCs w:val="26"/>
    </w:rPr>
  </w:style>
  <w:style w:type="character" w:styleId="a7">
    <w:name w:val="Emphasis"/>
    <w:basedOn w:val="a0"/>
    <w:uiPriority w:val="20"/>
    <w:qFormat/>
    <w:rsid w:val="00C03B7C"/>
    <w:rPr>
      <w:i/>
      <w:iCs/>
    </w:rPr>
  </w:style>
  <w:style w:type="paragraph" w:styleId="a8">
    <w:name w:val="Balloon Text"/>
    <w:basedOn w:val="a"/>
    <w:link w:val="a9"/>
    <w:uiPriority w:val="99"/>
    <w:semiHidden/>
    <w:unhideWhenUsed/>
    <w:rsid w:val="008161A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161A7"/>
    <w:rPr>
      <w:rFonts w:ascii="Tahoma" w:hAnsi="Tahoma" w:cs="Tahoma"/>
      <w:sz w:val="16"/>
      <w:szCs w:val="16"/>
    </w:rPr>
  </w:style>
  <w:style w:type="paragraph" w:customStyle="1" w:styleId="hlleftbdr">
    <w:name w:val="hl_leftbdr"/>
    <w:basedOn w:val="a"/>
    <w:rsid w:val="008161A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lyellow">
    <w:name w:val="hl_yellow"/>
    <w:basedOn w:val="a"/>
    <w:rsid w:val="008161A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w-headline">
    <w:name w:val="mw-headline"/>
    <w:basedOn w:val="a0"/>
    <w:rsid w:val="008161A7"/>
  </w:style>
  <w:style w:type="character" w:customStyle="1" w:styleId="mw-editsection">
    <w:name w:val="mw-editsection"/>
    <w:basedOn w:val="a0"/>
    <w:rsid w:val="008161A7"/>
  </w:style>
  <w:style w:type="character" w:customStyle="1" w:styleId="mw-editsection-bracket">
    <w:name w:val="mw-editsection-bracket"/>
    <w:basedOn w:val="a0"/>
    <w:rsid w:val="008161A7"/>
  </w:style>
  <w:style w:type="character" w:customStyle="1" w:styleId="mw-editsection-divider">
    <w:name w:val="mw-editsection-divider"/>
    <w:basedOn w:val="a0"/>
    <w:rsid w:val="008161A7"/>
  </w:style>
  <w:style w:type="character" w:customStyle="1" w:styleId="toctogglespan">
    <w:name w:val="toctogglespan"/>
    <w:basedOn w:val="a0"/>
    <w:rsid w:val="00583E78"/>
  </w:style>
  <w:style w:type="character" w:customStyle="1" w:styleId="tocnumber">
    <w:name w:val="tocnumber"/>
    <w:basedOn w:val="a0"/>
    <w:rsid w:val="00583E78"/>
  </w:style>
  <w:style w:type="character" w:customStyle="1" w:styleId="toctext">
    <w:name w:val="toctext"/>
    <w:basedOn w:val="a0"/>
    <w:rsid w:val="00583E78"/>
  </w:style>
  <w:style w:type="character" w:customStyle="1" w:styleId="image">
    <w:name w:val="image"/>
    <w:basedOn w:val="a0"/>
    <w:rsid w:val="00583E78"/>
  </w:style>
  <w:style w:type="character" w:customStyle="1" w:styleId="label">
    <w:name w:val="label"/>
    <w:basedOn w:val="a0"/>
    <w:rsid w:val="00583E78"/>
  </w:style>
</w:styles>
</file>

<file path=word/webSettings.xml><?xml version="1.0" encoding="utf-8"?>
<w:webSettings xmlns:r="http://schemas.openxmlformats.org/officeDocument/2006/relationships" xmlns:w="http://schemas.openxmlformats.org/wordprocessingml/2006/main">
  <w:divs>
    <w:div w:id="464272452">
      <w:bodyDiv w:val="1"/>
      <w:marLeft w:val="0"/>
      <w:marRight w:val="0"/>
      <w:marTop w:val="0"/>
      <w:marBottom w:val="0"/>
      <w:divBdr>
        <w:top w:val="none" w:sz="0" w:space="0" w:color="auto"/>
        <w:left w:val="none" w:sz="0" w:space="0" w:color="auto"/>
        <w:bottom w:val="none" w:sz="0" w:space="0" w:color="auto"/>
        <w:right w:val="none" w:sz="0" w:space="0" w:color="auto"/>
      </w:divBdr>
    </w:div>
    <w:div w:id="542904014">
      <w:bodyDiv w:val="1"/>
      <w:marLeft w:val="0"/>
      <w:marRight w:val="0"/>
      <w:marTop w:val="0"/>
      <w:marBottom w:val="0"/>
      <w:divBdr>
        <w:top w:val="none" w:sz="0" w:space="0" w:color="auto"/>
        <w:left w:val="none" w:sz="0" w:space="0" w:color="auto"/>
        <w:bottom w:val="none" w:sz="0" w:space="0" w:color="auto"/>
        <w:right w:val="none" w:sz="0" w:space="0" w:color="auto"/>
      </w:divBdr>
      <w:divsChild>
        <w:div w:id="1631862776">
          <w:marLeft w:val="0"/>
          <w:marRight w:val="0"/>
          <w:marTop w:val="0"/>
          <w:marBottom w:val="0"/>
          <w:divBdr>
            <w:top w:val="none" w:sz="0" w:space="0" w:color="auto"/>
            <w:left w:val="none" w:sz="0" w:space="0" w:color="auto"/>
            <w:bottom w:val="none" w:sz="0" w:space="0" w:color="auto"/>
            <w:right w:val="none" w:sz="0" w:space="0" w:color="auto"/>
          </w:divBdr>
        </w:div>
      </w:divsChild>
    </w:div>
    <w:div w:id="620184464">
      <w:bodyDiv w:val="1"/>
      <w:marLeft w:val="0"/>
      <w:marRight w:val="0"/>
      <w:marTop w:val="0"/>
      <w:marBottom w:val="0"/>
      <w:divBdr>
        <w:top w:val="none" w:sz="0" w:space="0" w:color="auto"/>
        <w:left w:val="none" w:sz="0" w:space="0" w:color="auto"/>
        <w:bottom w:val="none" w:sz="0" w:space="0" w:color="auto"/>
        <w:right w:val="none" w:sz="0" w:space="0" w:color="auto"/>
      </w:divBdr>
    </w:div>
    <w:div w:id="632905554">
      <w:bodyDiv w:val="1"/>
      <w:marLeft w:val="0"/>
      <w:marRight w:val="0"/>
      <w:marTop w:val="0"/>
      <w:marBottom w:val="0"/>
      <w:divBdr>
        <w:top w:val="none" w:sz="0" w:space="0" w:color="auto"/>
        <w:left w:val="none" w:sz="0" w:space="0" w:color="auto"/>
        <w:bottom w:val="none" w:sz="0" w:space="0" w:color="auto"/>
        <w:right w:val="none" w:sz="0" w:space="0" w:color="auto"/>
      </w:divBdr>
    </w:div>
    <w:div w:id="816340490">
      <w:bodyDiv w:val="1"/>
      <w:marLeft w:val="0"/>
      <w:marRight w:val="0"/>
      <w:marTop w:val="0"/>
      <w:marBottom w:val="0"/>
      <w:divBdr>
        <w:top w:val="none" w:sz="0" w:space="0" w:color="auto"/>
        <w:left w:val="none" w:sz="0" w:space="0" w:color="auto"/>
        <w:bottom w:val="none" w:sz="0" w:space="0" w:color="auto"/>
        <w:right w:val="none" w:sz="0" w:space="0" w:color="auto"/>
      </w:divBdr>
    </w:div>
    <w:div w:id="849217494">
      <w:bodyDiv w:val="1"/>
      <w:marLeft w:val="0"/>
      <w:marRight w:val="0"/>
      <w:marTop w:val="0"/>
      <w:marBottom w:val="0"/>
      <w:divBdr>
        <w:top w:val="none" w:sz="0" w:space="0" w:color="auto"/>
        <w:left w:val="none" w:sz="0" w:space="0" w:color="auto"/>
        <w:bottom w:val="none" w:sz="0" w:space="0" w:color="auto"/>
        <w:right w:val="none" w:sz="0" w:space="0" w:color="auto"/>
      </w:divBdr>
    </w:div>
    <w:div w:id="988283979">
      <w:bodyDiv w:val="1"/>
      <w:marLeft w:val="0"/>
      <w:marRight w:val="0"/>
      <w:marTop w:val="0"/>
      <w:marBottom w:val="0"/>
      <w:divBdr>
        <w:top w:val="none" w:sz="0" w:space="0" w:color="auto"/>
        <w:left w:val="none" w:sz="0" w:space="0" w:color="auto"/>
        <w:bottom w:val="none" w:sz="0" w:space="0" w:color="auto"/>
        <w:right w:val="none" w:sz="0" w:space="0" w:color="auto"/>
      </w:divBdr>
    </w:div>
    <w:div w:id="1015619189">
      <w:bodyDiv w:val="1"/>
      <w:marLeft w:val="0"/>
      <w:marRight w:val="0"/>
      <w:marTop w:val="0"/>
      <w:marBottom w:val="0"/>
      <w:divBdr>
        <w:top w:val="none" w:sz="0" w:space="0" w:color="auto"/>
        <w:left w:val="none" w:sz="0" w:space="0" w:color="auto"/>
        <w:bottom w:val="none" w:sz="0" w:space="0" w:color="auto"/>
        <w:right w:val="none" w:sz="0" w:space="0" w:color="auto"/>
      </w:divBdr>
    </w:div>
    <w:div w:id="1187254785">
      <w:bodyDiv w:val="1"/>
      <w:marLeft w:val="0"/>
      <w:marRight w:val="0"/>
      <w:marTop w:val="0"/>
      <w:marBottom w:val="0"/>
      <w:divBdr>
        <w:top w:val="none" w:sz="0" w:space="0" w:color="auto"/>
        <w:left w:val="none" w:sz="0" w:space="0" w:color="auto"/>
        <w:bottom w:val="none" w:sz="0" w:space="0" w:color="auto"/>
        <w:right w:val="none" w:sz="0" w:space="0" w:color="auto"/>
      </w:divBdr>
    </w:div>
    <w:div w:id="1378507540">
      <w:bodyDiv w:val="1"/>
      <w:marLeft w:val="0"/>
      <w:marRight w:val="0"/>
      <w:marTop w:val="0"/>
      <w:marBottom w:val="0"/>
      <w:divBdr>
        <w:top w:val="none" w:sz="0" w:space="0" w:color="auto"/>
        <w:left w:val="none" w:sz="0" w:space="0" w:color="auto"/>
        <w:bottom w:val="none" w:sz="0" w:space="0" w:color="auto"/>
        <w:right w:val="none" w:sz="0" w:space="0" w:color="auto"/>
      </w:divBdr>
    </w:div>
    <w:div w:id="1393652333">
      <w:bodyDiv w:val="1"/>
      <w:marLeft w:val="0"/>
      <w:marRight w:val="0"/>
      <w:marTop w:val="0"/>
      <w:marBottom w:val="0"/>
      <w:divBdr>
        <w:top w:val="none" w:sz="0" w:space="0" w:color="auto"/>
        <w:left w:val="none" w:sz="0" w:space="0" w:color="auto"/>
        <w:bottom w:val="none" w:sz="0" w:space="0" w:color="auto"/>
        <w:right w:val="none" w:sz="0" w:space="0" w:color="auto"/>
      </w:divBdr>
    </w:div>
    <w:div w:id="1527061399">
      <w:bodyDiv w:val="1"/>
      <w:marLeft w:val="0"/>
      <w:marRight w:val="0"/>
      <w:marTop w:val="0"/>
      <w:marBottom w:val="0"/>
      <w:divBdr>
        <w:top w:val="none" w:sz="0" w:space="0" w:color="auto"/>
        <w:left w:val="none" w:sz="0" w:space="0" w:color="auto"/>
        <w:bottom w:val="none" w:sz="0" w:space="0" w:color="auto"/>
        <w:right w:val="none" w:sz="0" w:space="0" w:color="auto"/>
      </w:divBdr>
    </w:div>
    <w:div w:id="1573661985">
      <w:bodyDiv w:val="1"/>
      <w:marLeft w:val="0"/>
      <w:marRight w:val="0"/>
      <w:marTop w:val="0"/>
      <w:marBottom w:val="0"/>
      <w:divBdr>
        <w:top w:val="none" w:sz="0" w:space="0" w:color="auto"/>
        <w:left w:val="none" w:sz="0" w:space="0" w:color="auto"/>
        <w:bottom w:val="none" w:sz="0" w:space="0" w:color="auto"/>
        <w:right w:val="none" w:sz="0" w:space="0" w:color="auto"/>
      </w:divBdr>
    </w:div>
    <w:div w:id="1641685562">
      <w:bodyDiv w:val="1"/>
      <w:marLeft w:val="0"/>
      <w:marRight w:val="0"/>
      <w:marTop w:val="0"/>
      <w:marBottom w:val="0"/>
      <w:divBdr>
        <w:top w:val="none" w:sz="0" w:space="0" w:color="auto"/>
        <w:left w:val="none" w:sz="0" w:space="0" w:color="auto"/>
        <w:bottom w:val="none" w:sz="0" w:space="0" w:color="auto"/>
        <w:right w:val="none" w:sz="0" w:space="0" w:color="auto"/>
      </w:divBdr>
    </w:div>
    <w:div w:id="1725445896">
      <w:bodyDiv w:val="1"/>
      <w:marLeft w:val="0"/>
      <w:marRight w:val="0"/>
      <w:marTop w:val="0"/>
      <w:marBottom w:val="0"/>
      <w:divBdr>
        <w:top w:val="none" w:sz="0" w:space="0" w:color="auto"/>
        <w:left w:val="none" w:sz="0" w:space="0" w:color="auto"/>
        <w:bottom w:val="none" w:sz="0" w:space="0" w:color="auto"/>
        <w:right w:val="none" w:sz="0" w:space="0" w:color="auto"/>
      </w:divBdr>
    </w:div>
    <w:div w:id="1763523730">
      <w:bodyDiv w:val="1"/>
      <w:marLeft w:val="0"/>
      <w:marRight w:val="0"/>
      <w:marTop w:val="0"/>
      <w:marBottom w:val="0"/>
      <w:divBdr>
        <w:top w:val="none" w:sz="0" w:space="0" w:color="auto"/>
        <w:left w:val="none" w:sz="0" w:space="0" w:color="auto"/>
        <w:bottom w:val="none" w:sz="0" w:space="0" w:color="auto"/>
        <w:right w:val="none" w:sz="0" w:space="0" w:color="auto"/>
      </w:divBdr>
    </w:div>
    <w:div w:id="1849978220">
      <w:bodyDiv w:val="1"/>
      <w:marLeft w:val="0"/>
      <w:marRight w:val="0"/>
      <w:marTop w:val="0"/>
      <w:marBottom w:val="0"/>
      <w:divBdr>
        <w:top w:val="none" w:sz="0" w:space="0" w:color="auto"/>
        <w:left w:val="none" w:sz="0" w:space="0" w:color="auto"/>
        <w:bottom w:val="none" w:sz="0" w:space="0" w:color="auto"/>
        <w:right w:val="none" w:sz="0" w:space="0" w:color="auto"/>
      </w:divBdr>
    </w:div>
    <w:div w:id="1869366156">
      <w:bodyDiv w:val="1"/>
      <w:marLeft w:val="0"/>
      <w:marRight w:val="0"/>
      <w:marTop w:val="0"/>
      <w:marBottom w:val="0"/>
      <w:divBdr>
        <w:top w:val="none" w:sz="0" w:space="0" w:color="auto"/>
        <w:left w:val="none" w:sz="0" w:space="0" w:color="auto"/>
        <w:bottom w:val="none" w:sz="0" w:space="0" w:color="auto"/>
        <w:right w:val="none" w:sz="0" w:space="0" w:color="auto"/>
      </w:divBdr>
    </w:div>
    <w:div w:id="1995522383">
      <w:bodyDiv w:val="1"/>
      <w:marLeft w:val="0"/>
      <w:marRight w:val="0"/>
      <w:marTop w:val="0"/>
      <w:marBottom w:val="0"/>
      <w:divBdr>
        <w:top w:val="none" w:sz="0" w:space="0" w:color="auto"/>
        <w:left w:val="none" w:sz="0" w:space="0" w:color="auto"/>
        <w:bottom w:val="none" w:sz="0" w:space="0" w:color="auto"/>
        <w:right w:val="none" w:sz="0" w:space="0" w:color="auto"/>
      </w:divBdr>
      <w:divsChild>
        <w:div w:id="27143001">
          <w:marLeft w:val="0"/>
          <w:marRight w:val="0"/>
          <w:marTop w:val="0"/>
          <w:marBottom w:val="0"/>
          <w:divBdr>
            <w:top w:val="none" w:sz="0" w:space="0" w:color="auto"/>
            <w:left w:val="none" w:sz="0" w:space="0" w:color="auto"/>
            <w:bottom w:val="none" w:sz="0" w:space="0" w:color="auto"/>
            <w:right w:val="none" w:sz="0" w:space="0" w:color="auto"/>
          </w:divBdr>
        </w:div>
        <w:div w:id="332533134">
          <w:marLeft w:val="0"/>
          <w:marRight w:val="0"/>
          <w:marTop w:val="0"/>
          <w:marBottom w:val="0"/>
          <w:divBdr>
            <w:top w:val="none" w:sz="0" w:space="0" w:color="auto"/>
            <w:left w:val="none" w:sz="0" w:space="0" w:color="auto"/>
            <w:bottom w:val="none" w:sz="0" w:space="0" w:color="auto"/>
            <w:right w:val="none" w:sz="0" w:space="0" w:color="auto"/>
          </w:divBdr>
          <w:divsChild>
            <w:div w:id="1418671975">
              <w:marLeft w:val="0"/>
              <w:marRight w:val="0"/>
              <w:marTop w:val="0"/>
              <w:marBottom w:val="0"/>
              <w:divBdr>
                <w:top w:val="none" w:sz="0" w:space="0" w:color="auto"/>
                <w:left w:val="none" w:sz="0" w:space="0" w:color="auto"/>
                <w:bottom w:val="none" w:sz="0" w:space="0" w:color="auto"/>
                <w:right w:val="none" w:sz="0" w:space="0" w:color="auto"/>
              </w:divBdr>
              <w:divsChild>
                <w:div w:id="34472318">
                  <w:marLeft w:val="0"/>
                  <w:marRight w:val="0"/>
                  <w:marTop w:val="0"/>
                  <w:marBottom w:val="0"/>
                  <w:divBdr>
                    <w:top w:val="single" w:sz="6" w:space="2" w:color="AAAAAA"/>
                    <w:left w:val="none" w:sz="0" w:space="0" w:color="auto"/>
                    <w:bottom w:val="none" w:sz="0" w:space="0" w:color="auto"/>
                    <w:right w:val="none" w:sz="0" w:space="0" w:color="auto"/>
                  </w:divBdr>
                </w:div>
              </w:divsChild>
            </w:div>
          </w:divsChild>
        </w:div>
        <w:div w:id="143663251">
          <w:marLeft w:val="0"/>
          <w:marRight w:val="0"/>
          <w:marTop w:val="0"/>
          <w:marBottom w:val="0"/>
          <w:divBdr>
            <w:top w:val="none" w:sz="0" w:space="0" w:color="auto"/>
            <w:left w:val="none" w:sz="0" w:space="0" w:color="auto"/>
            <w:bottom w:val="none" w:sz="0" w:space="0" w:color="auto"/>
            <w:right w:val="none" w:sz="0" w:space="0" w:color="auto"/>
          </w:divBdr>
          <w:divsChild>
            <w:div w:id="150027495">
              <w:marLeft w:val="0"/>
              <w:marRight w:val="0"/>
              <w:marTop w:val="0"/>
              <w:marBottom w:val="0"/>
              <w:divBdr>
                <w:top w:val="none" w:sz="0" w:space="0" w:color="auto"/>
                <w:left w:val="none" w:sz="0" w:space="0" w:color="auto"/>
                <w:bottom w:val="none" w:sz="0" w:space="0" w:color="auto"/>
                <w:right w:val="none" w:sz="0" w:space="0" w:color="auto"/>
              </w:divBdr>
              <w:divsChild>
                <w:div w:id="2090880940">
                  <w:marLeft w:val="0"/>
                  <w:marRight w:val="0"/>
                  <w:marTop w:val="0"/>
                  <w:marBottom w:val="0"/>
                  <w:divBdr>
                    <w:top w:val="single" w:sz="6" w:space="2" w:color="AAAAAA"/>
                    <w:left w:val="none" w:sz="0" w:space="0" w:color="auto"/>
                    <w:bottom w:val="none" w:sz="0" w:space="0" w:color="auto"/>
                    <w:right w:val="none" w:sz="0" w:space="0" w:color="auto"/>
                  </w:divBdr>
                </w:div>
              </w:divsChild>
            </w:div>
          </w:divsChild>
        </w:div>
        <w:div w:id="870145627">
          <w:marLeft w:val="0"/>
          <w:marRight w:val="0"/>
          <w:marTop w:val="0"/>
          <w:marBottom w:val="0"/>
          <w:divBdr>
            <w:top w:val="none" w:sz="0" w:space="0" w:color="auto"/>
            <w:left w:val="none" w:sz="0" w:space="0" w:color="auto"/>
            <w:bottom w:val="none" w:sz="0" w:space="0" w:color="auto"/>
            <w:right w:val="none" w:sz="0" w:space="0" w:color="auto"/>
          </w:divBdr>
          <w:divsChild>
            <w:div w:id="1878277029">
              <w:marLeft w:val="0"/>
              <w:marRight w:val="0"/>
              <w:marTop w:val="0"/>
              <w:marBottom w:val="0"/>
              <w:divBdr>
                <w:top w:val="none" w:sz="0" w:space="0" w:color="auto"/>
                <w:left w:val="none" w:sz="0" w:space="0" w:color="auto"/>
                <w:bottom w:val="none" w:sz="0" w:space="0" w:color="auto"/>
                <w:right w:val="none" w:sz="0" w:space="0" w:color="auto"/>
              </w:divBdr>
              <w:divsChild>
                <w:div w:id="1135950204">
                  <w:marLeft w:val="0"/>
                  <w:marRight w:val="0"/>
                  <w:marTop w:val="0"/>
                  <w:marBottom w:val="0"/>
                  <w:divBdr>
                    <w:top w:val="single" w:sz="6" w:space="2" w:color="AAAAAA"/>
                    <w:left w:val="none" w:sz="0" w:space="0" w:color="auto"/>
                    <w:bottom w:val="none" w:sz="0" w:space="0" w:color="auto"/>
                    <w:right w:val="none" w:sz="0" w:space="0" w:color="auto"/>
                  </w:divBdr>
                </w:div>
              </w:divsChild>
            </w:div>
          </w:divsChild>
        </w:div>
        <w:div w:id="1342243379">
          <w:marLeft w:val="0"/>
          <w:marRight w:val="0"/>
          <w:marTop w:val="0"/>
          <w:marBottom w:val="0"/>
          <w:divBdr>
            <w:top w:val="none" w:sz="0" w:space="0" w:color="auto"/>
            <w:left w:val="none" w:sz="0" w:space="0" w:color="auto"/>
            <w:bottom w:val="none" w:sz="0" w:space="0" w:color="auto"/>
            <w:right w:val="none" w:sz="0" w:space="0" w:color="auto"/>
          </w:divBdr>
          <w:divsChild>
            <w:div w:id="1999309063">
              <w:marLeft w:val="0"/>
              <w:marRight w:val="0"/>
              <w:marTop w:val="0"/>
              <w:marBottom w:val="0"/>
              <w:divBdr>
                <w:top w:val="none" w:sz="0" w:space="0" w:color="auto"/>
                <w:left w:val="none" w:sz="0" w:space="0" w:color="auto"/>
                <w:bottom w:val="none" w:sz="0" w:space="0" w:color="auto"/>
                <w:right w:val="none" w:sz="0" w:space="0" w:color="auto"/>
              </w:divBdr>
              <w:divsChild>
                <w:div w:id="1613201156">
                  <w:marLeft w:val="0"/>
                  <w:marRight w:val="0"/>
                  <w:marTop w:val="0"/>
                  <w:marBottom w:val="0"/>
                  <w:divBdr>
                    <w:top w:val="single" w:sz="6" w:space="2" w:color="AAAAAA"/>
                    <w:left w:val="none" w:sz="0" w:space="0" w:color="auto"/>
                    <w:bottom w:val="none" w:sz="0" w:space="0" w:color="auto"/>
                    <w:right w:val="none" w:sz="0" w:space="0" w:color="auto"/>
                  </w:divBdr>
                </w:div>
              </w:divsChild>
            </w:div>
          </w:divsChild>
        </w:div>
        <w:div w:id="1406612681">
          <w:marLeft w:val="0"/>
          <w:marRight w:val="0"/>
          <w:marTop w:val="0"/>
          <w:marBottom w:val="0"/>
          <w:divBdr>
            <w:top w:val="none" w:sz="0" w:space="0" w:color="auto"/>
            <w:left w:val="none" w:sz="0" w:space="0" w:color="auto"/>
            <w:bottom w:val="none" w:sz="0" w:space="0" w:color="auto"/>
            <w:right w:val="none" w:sz="0" w:space="0" w:color="auto"/>
          </w:divBdr>
          <w:divsChild>
            <w:div w:id="1694115658">
              <w:marLeft w:val="0"/>
              <w:marRight w:val="0"/>
              <w:marTop w:val="0"/>
              <w:marBottom w:val="0"/>
              <w:divBdr>
                <w:top w:val="none" w:sz="0" w:space="0" w:color="auto"/>
                <w:left w:val="none" w:sz="0" w:space="0" w:color="auto"/>
                <w:bottom w:val="none" w:sz="0" w:space="0" w:color="auto"/>
                <w:right w:val="none" w:sz="0" w:space="0" w:color="auto"/>
              </w:divBdr>
              <w:divsChild>
                <w:div w:id="1703557830">
                  <w:marLeft w:val="0"/>
                  <w:marRight w:val="0"/>
                  <w:marTop w:val="0"/>
                  <w:marBottom w:val="0"/>
                  <w:divBdr>
                    <w:top w:val="single" w:sz="6" w:space="2" w:color="AAAAAA"/>
                    <w:left w:val="none" w:sz="0" w:space="0" w:color="auto"/>
                    <w:bottom w:val="none" w:sz="0" w:space="0" w:color="auto"/>
                    <w:right w:val="none" w:sz="0" w:space="0" w:color="auto"/>
                  </w:divBdr>
                </w:div>
              </w:divsChild>
            </w:div>
          </w:divsChild>
        </w:div>
        <w:div w:id="1428233861">
          <w:marLeft w:val="0"/>
          <w:marRight w:val="0"/>
          <w:marTop w:val="0"/>
          <w:marBottom w:val="0"/>
          <w:divBdr>
            <w:top w:val="none" w:sz="0" w:space="0" w:color="auto"/>
            <w:left w:val="none" w:sz="0" w:space="0" w:color="auto"/>
            <w:bottom w:val="none" w:sz="0" w:space="0" w:color="auto"/>
            <w:right w:val="none" w:sz="0" w:space="0" w:color="auto"/>
          </w:divBdr>
          <w:divsChild>
            <w:div w:id="1506869300">
              <w:marLeft w:val="0"/>
              <w:marRight w:val="0"/>
              <w:marTop w:val="0"/>
              <w:marBottom w:val="0"/>
              <w:divBdr>
                <w:top w:val="none" w:sz="0" w:space="0" w:color="auto"/>
                <w:left w:val="none" w:sz="0" w:space="0" w:color="auto"/>
                <w:bottom w:val="none" w:sz="0" w:space="0" w:color="auto"/>
                <w:right w:val="none" w:sz="0" w:space="0" w:color="auto"/>
              </w:divBdr>
              <w:divsChild>
                <w:div w:id="161627319">
                  <w:marLeft w:val="0"/>
                  <w:marRight w:val="0"/>
                  <w:marTop w:val="0"/>
                  <w:marBottom w:val="0"/>
                  <w:divBdr>
                    <w:top w:val="single" w:sz="6" w:space="2" w:color="AAAAAA"/>
                    <w:left w:val="none" w:sz="0" w:space="0" w:color="auto"/>
                    <w:bottom w:val="none" w:sz="0" w:space="0" w:color="auto"/>
                    <w:right w:val="none" w:sz="0" w:space="0" w:color="auto"/>
                  </w:divBdr>
                </w:div>
              </w:divsChild>
            </w:div>
          </w:divsChild>
        </w:div>
        <w:div w:id="1999843607">
          <w:marLeft w:val="0"/>
          <w:marRight w:val="0"/>
          <w:marTop w:val="0"/>
          <w:marBottom w:val="0"/>
          <w:divBdr>
            <w:top w:val="single" w:sz="6" w:space="5" w:color="A2A9B1"/>
            <w:left w:val="single" w:sz="6" w:space="5" w:color="A2A9B1"/>
            <w:bottom w:val="single" w:sz="6" w:space="5" w:color="A2A9B1"/>
            <w:right w:val="single" w:sz="6" w:space="5" w:color="A2A9B1"/>
          </w:divBdr>
        </w:div>
        <w:div w:id="1694115895">
          <w:marLeft w:val="240"/>
          <w:marRight w:val="0"/>
          <w:marTop w:val="0"/>
          <w:marBottom w:val="120"/>
          <w:divBdr>
            <w:top w:val="single" w:sz="6" w:space="5" w:color="A2A9B1"/>
            <w:left w:val="single" w:sz="6" w:space="5" w:color="A2A9B1"/>
            <w:bottom w:val="single" w:sz="6" w:space="5" w:color="A2A9B1"/>
            <w:right w:val="single" w:sz="6" w:space="5" w:color="A2A9B1"/>
          </w:divBdr>
          <w:divsChild>
            <w:div w:id="1737819531">
              <w:marLeft w:val="0"/>
              <w:marRight w:val="0"/>
              <w:marTop w:val="0"/>
              <w:marBottom w:val="48"/>
              <w:divBdr>
                <w:top w:val="none" w:sz="0" w:space="0" w:color="auto"/>
                <w:left w:val="none" w:sz="0" w:space="0" w:color="auto"/>
                <w:bottom w:val="none" w:sz="0" w:space="0" w:color="auto"/>
                <w:right w:val="none" w:sz="0" w:space="0" w:color="auto"/>
              </w:divBdr>
            </w:div>
          </w:divsChild>
        </w:div>
        <w:div w:id="344674014">
          <w:marLeft w:val="336"/>
          <w:marRight w:val="0"/>
          <w:marTop w:val="120"/>
          <w:marBottom w:val="312"/>
          <w:divBdr>
            <w:top w:val="none" w:sz="0" w:space="0" w:color="auto"/>
            <w:left w:val="none" w:sz="0" w:space="0" w:color="auto"/>
            <w:bottom w:val="none" w:sz="0" w:space="0" w:color="auto"/>
            <w:right w:val="none" w:sz="0" w:space="0" w:color="auto"/>
          </w:divBdr>
          <w:divsChild>
            <w:div w:id="1776900423">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363630102">
          <w:blockQuote w:val="1"/>
          <w:marLeft w:val="843"/>
          <w:marRight w:val="0"/>
          <w:marTop w:val="168"/>
          <w:marBottom w:val="168"/>
          <w:divBdr>
            <w:top w:val="single" w:sz="6" w:space="6" w:color="A2A9B1"/>
            <w:left w:val="single" w:sz="24" w:space="24" w:color="EAECF0"/>
            <w:bottom w:val="single" w:sz="6" w:space="6" w:color="A2A9B1"/>
            <w:right w:val="single" w:sz="6" w:space="24" w:color="A2A9B1"/>
          </w:divBdr>
          <w:divsChild>
            <w:div w:id="101707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092124">
      <w:bodyDiv w:val="1"/>
      <w:marLeft w:val="0"/>
      <w:marRight w:val="0"/>
      <w:marTop w:val="0"/>
      <w:marBottom w:val="0"/>
      <w:divBdr>
        <w:top w:val="none" w:sz="0" w:space="0" w:color="auto"/>
        <w:left w:val="none" w:sz="0" w:space="0" w:color="auto"/>
        <w:bottom w:val="none" w:sz="0" w:space="0" w:color="auto"/>
        <w:right w:val="none" w:sz="0" w:space="0" w:color="auto"/>
      </w:divBdr>
    </w:div>
    <w:div w:id="2040661362">
      <w:bodyDiv w:val="1"/>
      <w:marLeft w:val="0"/>
      <w:marRight w:val="0"/>
      <w:marTop w:val="0"/>
      <w:marBottom w:val="0"/>
      <w:divBdr>
        <w:top w:val="none" w:sz="0" w:space="0" w:color="auto"/>
        <w:left w:val="none" w:sz="0" w:space="0" w:color="auto"/>
        <w:bottom w:val="none" w:sz="0" w:space="0" w:color="auto"/>
        <w:right w:val="none" w:sz="0" w:space="0" w:color="auto"/>
      </w:divBdr>
    </w:div>
    <w:div w:id="2062291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38775F-6D56-4B8E-B55B-73FC215B4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2</Pages>
  <Words>484</Words>
  <Characters>2761</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21</cp:revision>
  <cp:lastPrinted>2020-12-26T07:59:00Z</cp:lastPrinted>
  <dcterms:created xsi:type="dcterms:W3CDTF">2020-12-05T12:37:00Z</dcterms:created>
  <dcterms:modified xsi:type="dcterms:W3CDTF">2021-01-18T03:22:00Z</dcterms:modified>
</cp:coreProperties>
</file>