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D52" w:rsidRPr="00BD45E3" w:rsidRDefault="00BD45E3" w:rsidP="00BD45E3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19</w:t>
      </w:r>
      <w:r w:rsidR="00B855BA" w:rsidRPr="00BD45E3">
        <w:rPr>
          <w:rFonts w:ascii="Times New Roman" w:hAnsi="Times New Roman" w:cs="Times New Roman"/>
          <w:b/>
          <w:color w:val="FF0000"/>
          <w:sz w:val="28"/>
          <w:szCs w:val="28"/>
        </w:rPr>
        <w:t>.01.2021</w:t>
      </w:r>
      <w:r w:rsidR="000C2E48" w:rsidRPr="00BD45E3">
        <w:rPr>
          <w:rFonts w:ascii="Times New Roman" w:hAnsi="Times New Roman" w:cs="Times New Roman"/>
          <w:b/>
          <w:color w:val="FF0000"/>
          <w:sz w:val="28"/>
          <w:szCs w:val="28"/>
        </w:rPr>
        <w:t>г.</w:t>
      </w:r>
    </w:p>
    <w:p w:rsidR="00C15D52" w:rsidRPr="00BD45E3" w:rsidRDefault="000C2E48" w:rsidP="00BD45E3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5E3">
        <w:rPr>
          <w:rFonts w:ascii="Times New Roman" w:hAnsi="Times New Roman" w:cs="Times New Roman"/>
          <w:b/>
          <w:color w:val="FF0000"/>
          <w:sz w:val="28"/>
          <w:szCs w:val="28"/>
        </w:rPr>
        <w:t>20-ПСО-1дк</w:t>
      </w:r>
    </w:p>
    <w:p w:rsidR="00C15D52" w:rsidRPr="00BD45E3" w:rsidRDefault="00001B58" w:rsidP="00BD45E3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D45E3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 (экономика)</w:t>
      </w:r>
    </w:p>
    <w:p w:rsidR="00783A63" w:rsidRDefault="00FB58B0" w:rsidP="00BD45E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Процент, его сущность и виды</w:t>
      </w:r>
    </w:p>
    <w:p w:rsidR="00FB58B0" w:rsidRPr="00FB58B0" w:rsidRDefault="00FB58B0" w:rsidP="00BD45E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Процент является частью прибыли, которую заемщик выплачивает кредитору за взятый в ссуду денежный капитал, и определяется как "иррациональная форма цены" ссудного капитала.</w:t>
      </w:r>
    </w:p>
    <w:p w:rsid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Источником процента выступает прибавочная стоимость, создаваемая в процессе производительного использования ссудного капитала. </w:t>
      </w:r>
    </w:p>
    <w:p w:rsid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Разделение прибыли, получаемой при использовании ссудного капитала, на процент, присваиваемый ссудным капиталом, и собственно прибыль — предпринимательский доход, получаемый заемщиком, происходит под влиянием спроса и предложения на рынке ссудных капиталов. 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Таким образом, процент выражает отношения между кредитором и заемщиком и выступает в форме определенной процентной ставки.</w:t>
      </w:r>
    </w:p>
    <w:p w:rsid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 Процентная ставка определяется в соответствии с конкретными условиями использования ссудного капитала и является объектом денежного и кредитного регулирования со стороны Центрального банка. </w:t>
      </w:r>
    </w:p>
    <w:p w:rsid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этом величина процентных ставок способствует либо притоку денежного капитала на внутренний рынок с денежных рынков других стран, либо его оттоку. Поэтому мобильность денежного капитала на этих рынках очень высокая, а его движение между различными национальными денежными рынками отражается в процентных ставках. Техническим средством для выравнивания различных национальных процентных ставок служит так называемый процентный арбитраж.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Однако перемещение денежных средств определяется не столько процентным арбитражем, сколько колебаниями валютных курсов.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  В соответствии с классическими представлениями изменение процентных ставок происходит под воздействием нормы прибыли. Фактически же </w:t>
      </w: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уровень ставок стихийно устанавливается в зависимости от спроса и предложения ссудного капитала. В свою очередь, спрос и предложение определяются многими факторами, в частности фазой развития экономики, степенью воздействия государства на экономику, политикой центральных банков, внешними факторами и т. д.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 Существует также ряд факторов, влияющих не столько на спрос и предложение, сколько на величину ставок процента: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а) </w:t>
      </w:r>
      <w:bookmarkStart w:id="0" w:name="_GoBack"/>
      <w:bookmarkEnd w:id="0"/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ожидаемые темпы инфляции;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кредитные риски;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налоги;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58B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движение валютного курса и др.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8B0">
        <w:rPr>
          <w:rFonts w:ascii="Times New Roman" w:hAnsi="Times New Roman" w:cs="Times New Roman"/>
          <w:sz w:val="28"/>
          <w:szCs w:val="28"/>
        </w:rPr>
        <w:t> Рыночный процесс формирования процентных ставок является достаточно сложным. Так, средний уровень процента как рыночная величина зависит от: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8B0">
        <w:rPr>
          <w:rFonts w:ascii="Times New Roman" w:hAnsi="Times New Roman" w:cs="Times New Roman"/>
          <w:sz w:val="28"/>
          <w:szCs w:val="28"/>
        </w:rPr>
        <w:t>а) спроса и предложения денег;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8B0">
        <w:rPr>
          <w:rFonts w:ascii="Times New Roman" w:hAnsi="Times New Roman" w:cs="Times New Roman"/>
          <w:sz w:val="28"/>
          <w:szCs w:val="28"/>
        </w:rPr>
        <w:t>б) от развитости денежного рынка;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8B0">
        <w:rPr>
          <w:rFonts w:ascii="Times New Roman" w:hAnsi="Times New Roman" w:cs="Times New Roman"/>
          <w:sz w:val="28"/>
          <w:szCs w:val="28"/>
        </w:rPr>
        <w:t>в) источников свободных денег;</w:t>
      </w:r>
    </w:p>
    <w:p w:rsidR="00FB58B0" w:rsidRPr="00FB58B0" w:rsidRDefault="00FB58B0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8B0">
        <w:rPr>
          <w:rFonts w:ascii="Times New Roman" w:hAnsi="Times New Roman" w:cs="Times New Roman"/>
          <w:sz w:val="28"/>
          <w:szCs w:val="28"/>
        </w:rPr>
        <w:t>г) заемщиков средств и др.</w:t>
      </w:r>
    </w:p>
    <w:p w:rsidR="00FB58B0" w:rsidRDefault="00FB58B0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8B0">
        <w:rPr>
          <w:rFonts w:ascii="Times New Roman" w:hAnsi="Times New Roman" w:cs="Times New Roman"/>
          <w:sz w:val="28"/>
          <w:szCs w:val="28"/>
        </w:rPr>
        <w:t>  Политика процентных ставок предусматривает в основном содействие достижению трех целей, во-первых, благоприятствовать росту экономики путем установления умеренно низких процентных ставок на кредиты, во-вторых, сдерживать инфляцию, в-третьих, обеспечивать стабильность национальной валюты на валютных рынках посредством установления умеренно повышенных процентных ставок. Первая цель оправдывает понижение процентных ставок на денежном рынке, вторая и третья оправдывают их рост.    Разрешение данного противоречия частично достигается путем проведения селективной (выборочной) политики процентных ставок в пользу приоритетных производств и секторов народного хозяйства.</w:t>
      </w:r>
    </w:p>
    <w:p w:rsidR="00FB58B0" w:rsidRDefault="00FB58B0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58B0" w:rsidRDefault="00FB58B0" w:rsidP="00FB58B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58B0" w:rsidRPr="00FB58B0" w:rsidRDefault="00FB58B0" w:rsidP="00FB58B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B58B0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Виды процентов </w:t>
      </w:r>
    </w:p>
    <w:p w:rsidR="00FB58B0" w:rsidRPr="00FB58B0" w:rsidRDefault="00FB58B0" w:rsidP="00FB58B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 зависимости от наличия инфляции</w:t>
      </w:r>
    </w:p>
    <w:p w:rsidR="00FB58B0" w:rsidRPr="00FB58B0" w:rsidRDefault="00FB58B0" w:rsidP="00FB58B0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noProof/>
          <w:color w:val="4063AF"/>
          <w:sz w:val="28"/>
          <w:szCs w:val="28"/>
          <w:bdr w:val="single" w:sz="18" w:space="0" w:color="FFFFFF" w:frame="1"/>
          <w:lang w:eastAsia="ru-RU"/>
        </w:rPr>
        <w:drawing>
          <wp:inline distT="0" distB="0" distL="0" distR="0" wp14:anchorId="534B5B53" wp14:editId="07F7EE37">
            <wp:extent cx="2466975" cy="2857500"/>
            <wp:effectExtent l="0" t="0" r="9525" b="0"/>
            <wp:docPr id="1" name="Рисунок 1" descr="Виды процентов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иды процентов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B0" w:rsidRPr="00FB58B0" w:rsidRDefault="00FB58B0" w:rsidP="00FB58B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Классификация</w:t>
      </w:r>
    </w:p>
    <w:p w:rsidR="00FB58B0" w:rsidRPr="00FB58B0" w:rsidRDefault="00FB58B0" w:rsidP="00FB58B0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Рассматривая какие бывают виды процентов начнем с этого параметра. От данного показателя зависит очень многое, включая конечную процентную ставку по кредиту или по выплатам в банке.</w:t>
      </w:r>
    </w:p>
    <w:p w:rsidR="00FB58B0" w:rsidRPr="00FB58B0" w:rsidRDefault="00FB58B0" w:rsidP="00FB58B0">
      <w:pPr>
        <w:numPr>
          <w:ilvl w:val="0"/>
          <w:numId w:val="20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Номинальные проценты отражают фиксированную рыночную стоимость и не меняются в течение всего периода страхования.</w:t>
      </w:r>
    </w:p>
    <w:p w:rsidR="00FB58B0" w:rsidRPr="00FB58B0" w:rsidRDefault="00FB58B0" w:rsidP="00FB58B0">
      <w:pPr>
        <w:numPr>
          <w:ilvl w:val="0"/>
          <w:numId w:val="20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Реальные отражают наиболее правдоподобную картину изменений процента в зависимости от условий инфляции, поэтому значения могут варьировать.</w:t>
      </w:r>
    </w:p>
    <w:p w:rsidR="00FB58B0" w:rsidRPr="00FB58B0" w:rsidRDefault="00FB58B0" w:rsidP="00FB58B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наличии возможности изменять условия процентной ставки</w:t>
      </w:r>
    </w:p>
    <w:p w:rsidR="00FB58B0" w:rsidRPr="00FB58B0" w:rsidRDefault="00FB58B0" w:rsidP="00FB58B0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noProof/>
          <w:color w:val="4063AF"/>
          <w:sz w:val="28"/>
          <w:szCs w:val="28"/>
          <w:bdr w:val="single" w:sz="18" w:space="0" w:color="FFFFFF" w:frame="1"/>
          <w:lang w:eastAsia="ru-RU"/>
        </w:rPr>
        <w:drawing>
          <wp:inline distT="0" distB="0" distL="0" distR="0" wp14:anchorId="0CFB5540" wp14:editId="43D65F0D">
            <wp:extent cx="2857500" cy="1428750"/>
            <wp:effectExtent l="0" t="0" r="0" b="0"/>
            <wp:docPr id="2" name="Рисунок 2" descr="Виды процентов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ды процентов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B0" w:rsidRPr="00FB58B0" w:rsidRDefault="00FB58B0" w:rsidP="00FB58B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Классификация</w:t>
      </w:r>
    </w:p>
    <w:p w:rsidR="00FB58B0" w:rsidRPr="00FB58B0" w:rsidRDefault="00FB58B0" w:rsidP="00FB58B0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Очень многих пользователей интересует вопрос о возможности внесения поправок в условия подписанного договора. Исходя из данного показателя выделяют две основных категории.</w:t>
      </w:r>
    </w:p>
    <w:p w:rsidR="00FB58B0" w:rsidRPr="00FB58B0" w:rsidRDefault="00FB58B0" w:rsidP="00FB58B0">
      <w:pPr>
        <w:numPr>
          <w:ilvl w:val="0"/>
          <w:numId w:val="2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Без изменений, фиксированные проценты не подлежат коррекции во время периода действия подписанных условий.</w:t>
      </w:r>
    </w:p>
    <w:p w:rsidR="00FB58B0" w:rsidRPr="00FB58B0" w:rsidRDefault="00FB58B0" w:rsidP="00FB58B0">
      <w:pPr>
        <w:numPr>
          <w:ilvl w:val="0"/>
          <w:numId w:val="21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Плавающие представляют собой конкретные внесения изменений, которые прописаны в договоре.</w:t>
      </w:r>
    </w:p>
    <w:p w:rsidR="00FB58B0" w:rsidRPr="00FB58B0" w:rsidRDefault="00FB58B0" w:rsidP="00FB58B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методу расчёта начислений по процентной ставке</w:t>
      </w:r>
    </w:p>
    <w:p w:rsidR="00FB58B0" w:rsidRPr="00FB58B0" w:rsidRDefault="00FB58B0" w:rsidP="00FB58B0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noProof/>
          <w:color w:val="4063AF"/>
          <w:sz w:val="28"/>
          <w:szCs w:val="28"/>
          <w:bdr w:val="single" w:sz="18" w:space="0" w:color="FFFFFF" w:frame="1"/>
          <w:lang w:eastAsia="ru-RU"/>
        </w:rPr>
        <w:drawing>
          <wp:inline distT="0" distB="0" distL="0" distR="0" wp14:anchorId="2102206A" wp14:editId="6FE8A4A6">
            <wp:extent cx="1905000" cy="2381250"/>
            <wp:effectExtent l="0" t="0" r="0" b="0"/>
            <wp:docPr id="3" name="Рисунок 3" descr="Виды процентов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ды процентов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B0" w:rsidRPr="00FB58B0" w:rsidRDefault="00FB58B0" w:rsidP="00FB58B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Классификация</w:t>
      </w:r>
    </w:p>
    <w:p w:rsidR="00FB58B0" w:rsidRPr="00FB58B0" w:rsidRDefault="00FB58B0" w:rsidP="00FB58B0">
      <w:pPr>
        <w:numPr>
          <w:ilvl w:val="0"/>
          <w:numId w:val="22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Простые проценты всегда начисляются в конце года на один и тот же остаток, это очень удобно для пользователей, но приносит меньше прибыли.</w:t>
      </w:r>
    </w:p>
    <w:p w:rsidR="00FB58B0" w:rsidRPr="00FB58B0" w:rsidRDefault="00FB58B0" w:rsidP="00FB58B0">
      <w:pPr>
        <w:numPr>
          <w:ilvl w:val="0"/>
          <w:numId w:val="22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Сложные проценты рассчитываются не только на остаток, имеющийся у владельца на окончание периода, но и на проценты. Такая система наложения процентов представляет собой пирамидный вариант и более выгодна для пользователей.</w:t>
      </w:r>
    </w:p>
    <w:p w:rsidR="00FB58B0" w:rsidRPr="00FB58B0" w:rsidRDefault="00FB58B0" w:rsidP="00FB58B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Классификация по форме кредита</w:t>
      </w:r>
    </w:p>
    <w:p w:rsidR="00FB58B0" w:rsidRPr="00FB58B0" w:rsidRDefault="00FB58B0" w:rsidP="00FB58B0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noProof/>
          <w:color w:val="4063AF"/>
          <w:sz w:val="28"/>
          <w:szCs w:val="28"/>
          <w:bdr w:val="single" w:sz="18" w:space="0" w:color="FFFFFF" w:frame="1"/>
          <w:lang w:eastAsia="ru-RU"/>
        </w:rPr>
        <w:lastRenderedPageBreak/>
        <w:drawing>
          <wp:inline distT="0" distB="0" distL="0" distR="0" wp14:anchorId="69A243C5" wp14:editId="2BF59ADB">
            <wp:extent cx="2857500" cy="1905000"/>
            <wp:effectExtent l="0" t="0" r="0" b="0"/>
            <wp:docPr id="5" name="Рисунок 5" descr="Виды процентов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иды процентов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B0" w:rsidRPr="00FB58B0" w:rsidRDefault="00FB58B0" w:rsidP="00FB58B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Классификация</w:t>
      </w:r>
    </w:p>
    <w:p w:rsidR="00FB58B0" w:rsidRPr="00FB58B0" w:rsidRDefault="00FB58B0" w:rsidP="00FB58B0">
      <w:pPr>
        <w:numPr>
          <w:ilvl w:val="0"/>
          <w:numId w:val="23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Коммерческие проценты формируются при составлении договора между юридическими лицами, участвующими в решении денежных вопросов.</w:t>
      </w:r>
    </w:p>
    <w:p w:rsidR="00FB58B0" w:rsidRPr="00FB58B0" w:rsidRDefault="00FB58B0" w:rsidP="00FB58B0">
      <w:pPr>
        <w:numPr>
          <w:ilvl w:val="0"/>
          <w:numId w:val="23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Банковские форматы начисления налогов берутся за предоставление физическому лицу кредитов, а также при сохранении определённой суммы денег </w:t>
      </w:r>
      <w:proofErr w:type="gramStart"/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счёту</w:t>
      </w:r>
      <w:proofErr w:type="gramEnd"/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B58B0" w:rsidRPr="00FB58B0" w:rsidRDefault="00FB58B0" w:rsidP="00FB58B0">
      <w:pPr>
        <w:numPr>
          <w:ilvl w:val="0"/>
          <w:numId w:val="23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Потребительские выплаты формируются при выдаче средств физическому лицу на приобретение определённых товаров. Обычно данный вид имеет самую высокую процентную ставку.</w:t>
      </w:r>
    </w:p>
    <w:p w:rsidR="00FB58B0" w:rsidRPr="00FB58B0" w:rsidRDefault="00FB58B0" w:rsidP="00FB58B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виду и срокам выделения ссуды</w:t>
      </w:r>
    </w:p>
    <w:p w:rsidR="00FB58B0" w:rsidRPr="00FB58B0" w:rsidRDefault="00FB58B0" w:rsidP="00FB58B0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noProof/>
          <w:color w:val="4063AF"/>
          <w:sz w:val="28"/>
          <w:szCs w:val="28"/>
          <w:bdr w:val="single" w:sz="18" w:space="0" w:color="FFFFFF" w:frame="1"/>
          <w:lang w:eastAsia="ru-RU"/>
        </w:rPr>
        <w:drawing>
          <wp:inline distT="0" distB="0" distL="0" distR="0" wp14:anchorId="110EBE6D" wp14:editId="775D10E5">
            <wp:extent cx="2762250" cy="1657350"/>
            <wp:effectExtent l="0" t="0" r="0" b="0"/>
            <wp:docPr id="11" name="Рисунок 11" descr="Виды процентов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иды процентов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B0" w:rsidRPr="00FB58B0" w:rsidRDefault="00FB58B0" w:rsidP="00FB58B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Классификация</w:t>
      </w:r>
    </w:p>
    <w:p w:rsidR="00FB58B0" w:rsidRPr="00FB58B0" w:rsidRDefault="00FB58B0" w:rsidP="00FB58B0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 данному критерию определяется риск для банка остаться без выплат по ссуде. Чем больше срок, на который выдаётся заём, тем выше риск.</w:t>
      </w:r>
    </w:p>
    <w:p w:rsidR="00FB58B0" w:rsidRPr="00FB58B0" w:rsidRDefault="00FB58B0" w:rsidP="00FB58B0">
      <w:pPr>
        <w:numPr>
          <w:ilvl w:val="0"/>
          <w:numId w:val="24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Краткосрочные, среднесрочные, долгосрочные, данная характеристика является классическим вариантом формирования условий кредитования.</w:t>
      </w:r>
    </w:p>
    <w:p w:rsidR="00FB58B0" w:rsidRPr="00FB58B0" w:rsidRDefault="00FB58B0" w:rsidP="00FB58B0">
      <w:pPr>
        <w:numPr>
          <w:ilvl w:val="0"/>
          <w:numId w:val="24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Ипотечные ссуды обязательно выплачиваются в течение долгого периода, при этом дата окончания выплаты чётко установлена в договоре.</w:t>
      </w:r>
    </w:p>
    <w:p w:rsidR="00FB58B0" w:rsidRPr="00FB58B0" w:rsidRDefault="00FB58B0" w:rsidP="00FB58B0">
      <w:pPr>
        <w:numPr>
          <w:ilvl w:val="0"/>
          <w:numId w:val="24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Кредитные ссуды предоставляются пользователю в различных объёмах и на различный срок, при этом за несвоевременную выплату назначаются дополнительные штрафы.</w:t>
      </w:r>
    </w:p>
    <w:p w:rsidR="00FB58B0" w:rsidRPr="00FB58B0" w:rsidRDefault="00FB58B0" w:rsidP="00FB58B0">
      <w:pPr>
        <w:numPr>
          <w:ilvl w:val="0"/>
          <w:numId w:val="24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Дисконтные варианты подразумевают вычитание процентной ставки заранее. Банк в таком случае предоставляет физическому лицу кредит с заранее установленной суммой переплаты.</w:t>
      </w:r>
    </w:p>
    <w:p w:rsidR="00FB58B0" w:rsidRPr="00FB58B0" w:rsidRDefault="00FB58B0" w:rsidP="00FB58B0">
      <w:pPr>
        <w:numPr>
          <w:ilvl w:val="0"/>
          <w:numId w:val="24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Депозитные издержки берёт банк за хранение определённой суммы денежных средств и различных материальных ценностей физического лица.</w:t>
      </w:r>
    </w:p>
    <w:p w:rsidR="00FB58B0" w:rsidRPr="00FB58B0" w:rsidRDefault="00FB58B0" w:rsidP="00FB58B0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 способу расчёта официальной ставки</w:t>
      </w:r>
    </w:p>
    <w:p w:rsidR="00FB58B0" w:rsidRPr="00FB58B0" w:rsidRDefault="00FB58B0" w:rsidP="00FB58B0">
      <w:pPr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noProof/>
          <w:color w:val="4063AF"/>
          <w:sz w:val="28"/>
          <w:szCs w:val="28"/>
          <w:bdr w:val="single" w:sz="18" w:space="0" w:color="FFFFFF" w:frame="1"/>
          <w:lang w:eastAsia="ru-RU"/>
        </w:rPr>
        <w:drawing>
          <wp:inline distT="0" distB="0" distL="0" distR="0" wp14:anchorId="7DAC179D" wp14:editId="7364AAD6">
            <wp:extent cx="2857500" cy="1419225"/>
            <wp:effectExtent l="0" t="0" r="0" b="9525"/>
            <wp:docPr id="12" name="Рисунок 12" descr="Виды процентов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Виды процентов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B0" w:rsidRPr="00FB58B0" w:rsidRDefault="00FB58B0" w:rsidP="00FB58B0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Классификация</w:t>
      </w:r>
    </w:p>
    <w:p w:rsidR="00FB58B0" w:rsidRPr="00FB58B0" w:rsidRDefault="00FB58B0" w:rsidP="00FB58B0">
      <w:pPr>
        <w:numPr>
          <w:ilvl w:val="0"/>
          <w:numId w:val="25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Учётная форма выплат определяется благодаря специальному банковскому инструменту, который берёт в расчет монетарную систему. Именно она служит для формирования процентов для всех банков.</w:t>
      </w:r>
    </w:p>
    <w:p w:rsidR="00FB58B0" w:rsidRPr="00FB58B0" w:rsidRDefault="00FB58B0" w:rsidP="00FB58B0">
      <w:pPr>
        <w:numPr>
          <w:ilvl w:val="0"/>
          <w:numId w:val="25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Дисконтированная берёт в расчёт все существующие ценные бумаги и </w:t>
      </w:r>
      <w:proofErr w:type="spellStart"/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вексели</w:t>
      </w:r>
      <w:proofErr w:type="spellEnd"/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исходя из этого формирует общую ставку для всех организаций.</w:t>
      </w:r>
    </w:p>
    <w:p w:rsidR="00FB58B0" w:rsidRPr="00FB58B0" w:rsidRDefault="00FB58B0" w:rsidP="00FB58B0">
      <w:pPr>
        <w:numPr>
          <w:ilvl w:val="0"/>
          <w:numId w:val="25"/>
        </w:numPr>
        <w:spacing w:after="0" w:line="360" w:lineRule="auto"/>
        <w:ind w:left="1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B58B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Рефинансированная подразумевает подчинение всех банковских учреждений единому Центральному Банку, который определяет условия выдачи денежных средств и начисление процентной ставки.</w:t>
      </w:r>
    </w:p>
    <w:p w:rsidR="00FB58B0" w:rsidRPr="00FB58B0" w:rsidRDefault="00FB58B0" w:rsidP="00FB58B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5BA" w:rsidRPr="00FB58B0" w:rsidRDefault="00B855BA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7748" w:rsidRPr="00FB58B0" w:rsidRDefault="00737748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58B0">
        <w:rPr>
          <w:rFonts w:ascii="Times New Roman" w:hAnsi="Times New Roman" w:cs="Times New Roman"/>
          <w:sz w:val="28"/>
          <w:szCs w:val="28"/>
        </w:rPr>
        <w:t xml:space="preserve">Преподаватель ________________ </w:t>
      </w:r>
      <w:proofErr w:type="spellStart"/>
      <w:r w:rsidRPr="00FB58B0">
        <w:rPr>
          <w:rFonts w:ascii="Times New Roman" w:hAnsi="Times New Roman" w:cs="Times New Roman"/>
          <w:sz w:val="28"/>
          <w:szCs w:val="28"/>
        </w:rPr>
        <w:t>Губаханова</w:t>
      </w:r>
      <w:proofErr w:type="spellEnd"/>
      <w:r w:rsidRPr="00FB58B0">
        <w:rPr>
          <w:rFonts w:ascii="Times New Roman" w:hAnsi="Times New Roman" w:cs="Times New Roman"/>
          <w:sz w:val="28"/>
          <w:szCs w:val="28"/>
        </w:rPr>
        <w:t xml:space="preserve"> Р.Ф.</w:t>
      </w:r>
    </w:p>
    <w:p w:rsidR="00737748" w:rsidRPr="00FB58B0" w:rsidRDefault="00737748" w:rsidP="00FB58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37748" w:rsidRPr="00FB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ACF"/>
    <w:multiLevelType w:val="multilevel"/>
    <w:tmpl w:val="8D00B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37772D"/>
    <w:multiLevelType w:val="multilevel"/>
    <w:tmpl w:val="924C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B423D"/>
    <w:multiLevelType w:val="multilevel"/>
    <w:tmpl w:val="C878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364C7"/>
    <w:multiLevelType w:val="multilevel"/>
    <w:tmpl w:val="FF9A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27EAC"/>
    <w:multiLevelType w:val="multilevel"/>
    <w:tmpl w:val="B030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76E6B"/>
    <w:multiLevelType w:val="multilevel"/>
    <w:tmpl w:val="7A60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866B7"/>
    <w:multiLevelType w:val="multilevel"/>
    <w:tmpl w:val="6AB6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1418A"/>
    <w:multiLevelType w:val="multilevel"/>
    <w:tmpl w:val="F3E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01461"/>
    <w:multiLevelType w:val="multilevel"/>
    <w:tmpl w:val="120A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31EC4"/>
    <w:multiLevelType w:val="multilevel"/>
    <w:tmpl w:val="DED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4C2845"/>
    <w:multiLevelType w:val="multilevel"/>
    <w:tmpl w:val="33AC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301C65"/>
    <w:multiLevelType w:val="multilevel"/>
    <w:tmpl w:val="FA9A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993BF0"/>
    <w:multiLevelType w:val="multilevel"/>
    <w:tmpl w:val="6912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184AE1"/>
    <w:multiLevelType w:val="multilevel"/>
    <w:tmpl w:val="D350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F74E9"/>
    <w:multiLevelType w:val="multilevel"/>
    <w:tmpl w:val="C752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D79C3"/>
    <w:multiLevelType w:val="multilevel"/>
    <w:tmpl w:val="1C5C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2A13E8"/>
    <w:multiLevelType w:val="multilevel"/>
    <w:tmpl w:val="D60C2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A34DED"/>
    <w:multiLevelType w:val="multilevel"/>
    <w:tmpl w:val="A04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362E2E"/>
    <w:multiLevelType w:val="multilevel"/>
    <w:tmpl w:val="9B76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9418D5"/>
    <w:multiLevelType w:val="hybridMultilevel"/>
    <w:tmpl w:val="7E9EE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856C2"/>
    <w:multiLevelType w:val="multilevel"/>
    <w:tmpl w:val="19E27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D05818"/>
    <w:multiLevelType w:val="multilevel"/>
    <w:tmpl w:val="9A9A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423CA7"/>
    <w:multiLevelType w:val="multilevel"/>
    <w:tmpl w:val="49BE7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39290A"/>
    <w:multiLevelType w:val="multilevel"/>
    <w:tmpl w:val="40A8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9F5AC7"/>
    <w:multiLevelType w:val="multilevel"/>
    <w:tmpl w:val="AC56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0"/>
  </w:num>
  <w:num w:numId="5">
    <w:abstractNumId w:val="11"/>
  </w:num>
  <w:num w:numId="6">
    <w:abstractNumId w:val="24"/>
  </w:num>
  <w:num w:numId="7">
    <w:abstractNumId w:val="14"/>
  </w:num>
  <w:num w:numId="8">
    <w:abstractNumId w:val="19"/>
  </w:num>
  <w:num w:numId="9">
    <w:abstractNumId w:val="15"/>
  </w:num>
  <w:num w:numId="10">
    <w:abstractNumId w:val="16"/>
  </w:num>
  <w:num w:numId="11">
    <w:abstractNumId w:val="17"/>
  </w:num>
  <w:num w:numId="12">
    <w:abstractNumId w:val="5"/>
  </w:num>
  <w:num w:numId="13">
    <w:abstractNumId w:val="1"/>
  </w:num>
  <w:num w:numId="14">
    <w:abstractNumId w:val="12"/>
  </w:num>
  <w:num w:numId="15">
    <w:abstractNumId w:val="3"/>
  </w:num>
  <w:num w:numId="16">
    <w:abstractNumId w:val="4"/>
  </w:num>
  <w:num w:numId="17">
    <w:abstractNumId w:val="2"/>
  </w:num>
  <w:num w:numId="18">
    <w:abstractNumId w:val="13"/>
  </w:num>
  <w:num w:numId="19">
    <w:abstractNumId w:val="7"/>
  </w:num>
  <w:num w:numId="20">
    <w:abstractNumId w:val="23"/>
  </w:num>
  <w:num w:numId="21">
    <w:abstractNumId w:val="0"/>
  </w:num>
  <w:num w:numId="22">
    <w:abstractNumId w:val="6"/>
  </w:num>
  <w:num w:numId="23">
    <w:abstractNumId w:val="21"/>
  </w:num>
  <w:num w:numId="24">
    <w:abstractNumId w:val="2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F1"/>
    <w:rsid w:val="00001B58"/>
    <w:rsid w:val="000C2E48"/>
    <w:rsid w:val="00124FBC"/>
    <w:rsid w:val="002E115B"/>
    <w:rsid w:val="0039780E"/>
    <w:rsid w:val="00617F58"/>
    <w:rsid w:val="00685D0A"/>
    <w:rsid w:val="00737748"/>
    <w:rsid w:val="00783A63"/>
    <w:rsid w:val="00AE69F1"/>
    <w:rsid w:val="00B855BA"/>
    <w:rsid w:val="00BD45E3"/>
    <w:rsid w:val="00C15D52"/>
    <w:rsid w:val="00DD3066"/>
    <w:rsid w:val="00F80252"/>
    <w:rsid w:val="00FB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1532A-6378-41A2-9B42-19BEB73C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B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0252"/>
    <w:rPr>
      <w:rFonts w:ascii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73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8431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1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7252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467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956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2262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376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6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514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0203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1013">
              <w:marLeft w:val="0"/>
              <w:marRight w:val="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249">
          <w:marLeft w:val="0"/>
          <w:marRight w:val="0"/>
          <w:marTop w:val="450"/>
          <w:marBottom w:val="450"/>
          <w:divBdr>
            <w:top w:val="single" w:sz="12" w:space="12" w:color="98C332"/>
            <w:left w:val="single" w:sz="12" w:space="30" w:color="98C332"/>
            <w:bottom w:val="single" w:sz="12" w:space="14" w:color="98C332"/>
            <w:right w:val="single" w:sz="12" w:space="23" w:color="98C332"/>
          </w:divBdr>
        </w:div>
        <w:div w:id="1858154842">
          <w:marLeft w:val="0"/>
          <w:marRight w:val="0"/>
          <w:marTop w:val="42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670">
          <w:marLeft w:val="0"/>
          <w:marRight w:val="0"/>
          <w:marTop w:val="450"/>
          <w:marBottom w:val="450"/>
          <w:divBdr>
            <w:top w:val="single" w:sz="12" w:space="12" w:color="6969A8"/>
            <w:left w:val="single" w:sz="12" w:space="30" w:color="6969A8"/>
            <w:bottom w:val="single" w:sz="12" w:space="14" w:color="6969A8"/>
            <w:right w:val="single" w:sz="12" w:space="23" w:color="6969A8"/>
          </w:divBdr>
        </w:div>
      </w:divsChild>
    </w:div>
    <w:div w:id="1215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damir.com/wp-content/uploads/2019/06/images-18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damir.com/wp-content/uploads/2019/06/Vidy-protsentov-1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damir.com/wp-content/uploads/2019/06/mat_62355.jpg" TargetMode="External"/><Relationship Id="rId5" Type="http://schemas.openxmlformats.org/officeDocument/2006/relationships/hyperlink" Target="https://vidamir.com/wp-content/uploads/2019/06/Vidy-protsentov.jpg" TargetMode="External"/><Relationship Id="rId15" Type="http://schemas.openxmlformats.org/officeDocument/2006/relationships/hyperlink" Target="https://vidamir.com/wp-content/uploads/2019/06/fe49392391fbc94307b7c81a2d7a003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idamir.com/wp-content/uploads/2019/06/vidy-kreditov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dcterms:created xsi:type="dcterms:W3CDTF">2021-01-18T11:27:00Z</dcterms:created>
  <dcterms:modified xsi:type="dcterms:W3CDTF">2021-01-18T11:27:00Z</dcterms:modified>
</cp:coreProperties>
</file>