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77" w:rsidRPr="00416577" w:rsidRDefault="00416577" w:rsidP="0041657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Тема Новые научные исследования Солнечной системы</w:t>
      </w:r>
    </w:p>
    <w:p w:rsidR="00416577" w:rsidRPr="00416577" w:rsidRDefault="00416577" w:rsidP="00416577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"https://lenta.ru/auth/" </w:instrText>
      </w: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16577" w:rsidRPr="00416577" w:rsidRDefault="00416577" w:rsidP="00416577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16577" w:rsidRPr="00416577" w:rsidRDefault="00416577" w:rsidP="0041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3811905"/>
            <wp:effectExtent l="0" t="0" r="0" b="0"/>
            <wp:docPr id="5" name="Рисунок 5" descr="Планета Х (в представлении художни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ета Х (в представлении художник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77" w:rsidRPr="00416577" w:rsidRDefault="00416577" w:rsidP="00416577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Планета Х (в представлении художника)</w:t>
      </w:r>
    </w:p>
    <w:p w:rsidR="00416577" w:rsidRPr="00416577" w:rsidRDefault="00416577" w:rsidP="00416577">
      <w:pPr>
        <w:spacing w:line="225" w:lineRule="atLeast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  <w:t>Изображение: </w:t>
      </w:r>
      <w:hyperlink r:id="rId5" w:tgtFrame="_blank" w:history="1">
        <w:r w:rsidRPr="00416577">
          <w:rPr>
            <w:rFonts w:ascii="Times New Roman" w:eastAsia="Times New Roman" w:hAnsi="Times New Roman" w:cs="Times New Roman"/>
            <w:color w:val="959595"/>
            <w:sz w:val="24"/>
            <w:szCs w:val="24"/>
            <w:u w:val="single"/>
            <w:lang w:eastAsia="ru-RU"/>
          </w:rPr>
          <w:t>NASA</w:t>
        </w:r>
      </w:hyperlink>
    </w:p>
    <w:p w:rsidR="00416577" w:rsidRPr="00416577" w:rsidRDefault="00416577" w:rsidP="00416577">
      <w:pPr>
        <w:spacing w:after="4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2016 года ученые объявили, что в Солнечной системе, возможно, есть еще одна планета. Ее ищут многие астрономы, исследования пока приводят к неоднозначным выводам. Тем не менее первооткрыватели Планеты Х уверены в ее существовании. </w:t>
      </w:r>
      <w:hyperlink r:id="rId6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«</w:t>
        </w:r>
        <w:proofErr w:type="spellStart"/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Лента.ру</w:t>
        </w:r>
        <w:proofErr w:type="spellEnd"/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»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рассказывает о последних результатах работы в этом направлении.</w:t>
      </w:r>
    </w:p>
    <w:p w:rsidR="00416577" w:rsidRPr="00416577" w:rsidRDefault="00416577" w:rsidP="004165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noProof/>
          <w:color w:val="CC3333"/>
          <w:sz w:val="24"/>
          <w:szCs w:val="24"/>
          <w:lang w:eastAsia="ru-RU"/>
        </w:rPr>
        <w:drawing>
          <wp:inline distT="0" distB="0" distL="0" distR="0">
            <wp:extent cx="914400" cy="605155"/>
            <wp:effectExtent l="0" t="0" r="0" b="4445"/>
            <wp:docPr id="4" name="Рисунок 4" descr="Открытая Брауном с соавторами Седна (в представлении художника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ая Брауном с соавторами Седна (в представлении художника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77" w:rsidRPr="00416577" w:rsidRDefault="00416577" w:rsidP="00416577">
      <w:pPr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hyperlink r:id="rId9" w:history="1">
        <w:r w:rsidRPr="00416577">
          <w:rPr>
            <w:rFonts w:ascii="Times New Roman" w:eastAsia="Times New Roman" w:hAnsi="Times New Roman" w:cs="Times New Roman"/>
            <w:b/>
            <w:bCs/>
            <w:color w:val="151515"/>
            <w:sz w:val="24"/>
            <w:szCs w:val="24"/>
            <w:u w:val="single"/>
            <w:lang w:eastAsia="ru-RU"/>
          </w:rPr>
          <w:t>Тайна Планеты X</w:t>
        </w:r>
      </w:hyperlink>
    </w:p>
    <w:p w:rsidR="00416577" w:rsidRPr="00416577" w:rsidRDefault="00416577" w:rsidP="00416577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Солнечной системе открыли девятую планету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обнаружении за пределами орбиты Плутона Планеты Х </w:t>
      </w:r>
      <w:hyperlink r:id="rId10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сообщили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астрономы </w:t>
      </w:r>
      <w:hyperlink r:id="rId11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Майк Браун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Константин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Батыгин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Калифорнийского технологического института (США). Девятая планета Солнечной системы, если она существует, примерно в 10 раз тяжелее Земли, а по своим свойствам напоминает Нептун — газовый гигант, самую далекую из известных планет, вращающихся вокруг нашего светила.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 авторов, период обращения Планеты Х вокруг Солнца — 15 тысяч лет, ее орбита сильно вытянута и наклонена относительно плоскости земной орбиты. </w:t>
      </w: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удаление от Солнца Планеты Х оценивается в 600-1200 астрономических единиц, что выводит ее орбиту за пределы пояса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располагается Плутон. Происхождение Планеты Х неизвестно, но, как полагают Браун и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Батыгин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космический объект 4,5 миллиарда лет назад был выбит из протопланетного диска вблизи Солнца.</w:t>
      </w:r>
    </w:p>
    <w:p w:rsidR="00416577" w:rsidRPr="00416577" w:rsidRDefault="00416577" w:rsidP="00416577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215" cy="4005580"/>
            <wp:effectExtent l="0" t="0" r="0" b="0"/>
            <wp:docPr id="3" name="Рисунок 3" descr="Непт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пту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77" w:rsidRPr="00416577" w:rsidRDefault="00416577" w:rsidP="00416577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Нептун</w:t>
      </w:r>
    </w:p>
    <w:p w:rsidR="00416577" w:rsidRPr="00416577" w:rsidRDefault="00416577" w:rsidP="00416577">
      <w:pPr>
        <w:spacing w:line="225" w:lineRule="atLeast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  <w:t>Фото: NASA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планету астрономы обнаружили теоретически, анализируя оказываемое ею на другие небесные тела в поясе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гравитационное возмущение — траектории шести крупных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(то есть расположенных за орбитой Нептуна) оказались объединены в один кластер (со сходными аргументами перигелия, долготой восходящего узла и наклонением). Вероятность ошибки в своих расчетах Браун и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Батыгин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оценили в 0,007 процента.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именно находится Планета Х — неизвестно, какую часть небесной сферы следует отслеживать телескопам — непонятно. Небесное тело расположено настолько далеко от Солнца, что заметить его излучение современными средствами крайне сложно. А доказательства существования Планеты Х, основанные на оказываемом ею гравитационном влиянии на небесные тела в поясе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лишь косвенные.</w:t>
      </w:r>
    </w:p>
    <w:p w:rsidR="00416577" w:rsidRPr="00416577" w:rsidRDefault="00416577" w:rsidP="004165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noProof/>
          <w:color w:val="CC3333"/>
          <w:sz w:val="24"/>
          <w:szCs w:val="24"/>
          <w:lang w:eastAsia="ru-RU"/>
        </w:rPr>
        <w:drawing>
          <wp:inline distT="0" distB="0" distL="0" distR="0">
            <wp:extent cx="914400" cy="605155"/>
            <wp:effectExtent l="0" t="0" r="0" b="4445"/>
            <wp:docPr id="2" name="Рисунок 2" descr="Девятая планета Солнечной системы в представлении художни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ятая планета Солнечной системы в представлении художни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77" w:rsidRPr="00416577" w:rsidRDefault="00416577" w:rsidP="00416577">
      <w:pPr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hyperlink r:id="rId15" w:history="1">
        <w:r w:rsidRPr="00416577">
          <w:rPr>
            <w:rFonts w:ascii="Times New Roman" w:eastAsia="Times New Roman" w:hAnsi="Times New Roman" w:cs="Times New Roman"/>
            <w:b/>
            <w:bCs/>
            <w:color w:val="151515"/>
            <w:sz w:val="24"/>
            <w:szCs w:val="24"/>
            <w:u w:val="single"/>
            <w:lang w:eastAsia="ru-RU"/>
          </w:rPr>
          <w:t>«Она огромна»</w:t>
        </w:r>
      </w:hyperlink>
    </w:p>
    <w:p w:rsidR="00416577" w:rsidRPr="00416577" w:rsidRDefault="00416577" w:rsidP="00416577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Первооткрыватель девятой планеты Солнечной системы о новом космическом теле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июне 2017 года астрономы из Канады, Великобритании, Тайваня, Словакии, США и Франции </w:t>
      </w:r>
      <w:hyperlink r:id="rId16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представили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результаты поиска Планеты Х с использованием каталога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OSSOS (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Outer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Solar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Origins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Survey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Были изучены элементы орбиты восьми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на движение которых Планета Х должна была бы повлиять — объекты сгруппировались бы определенным образом (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кластеризовались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своим наклонениям. Среди восьми объектов четыре рассмотрены впервые, все они удалены от Солнца на расстояние более 250 астрономических единиц. Оказалось, что параметры одного объекта, 2015 GT50, не укладываются в кластеризацию, что заставило усомниться в существовании Планеты Х.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первооткрыватели планеты Х полагают, что 2015 GT50 не противоречит их расчетам. Как </w:t>
      </w:r>
      <w:hyperlink r:id="rId17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отметил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Батыгин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численное моделирование динамики Солнечной системы, включающее Планету Х, показывает, что за пределами большой полуоси в 250 астрономических единиц должны существовать два кластера небесных тел, чьи орбиты выровнены Планетой Х: один — стабильный, второй — метастабильный. Хотя объект 2015 GT50 не входит ни в один из этих кластеров, он все равно воспроизводится моделированием.</w:t>
      </w:r>
    </w:p>
    <w:p w:rsidR="00416577" w:rsidRPr="00416577" w:rsidRDefault="00416577" w:rsidP="00416577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77" w:rsidRPr="00416577" w:rsidRDefault="00416577" w:rsidP="00416577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Орбиты </w:t>
      </w:r>
      <w:proofErr w:type="spellStart"/>
      <w:r w:rsidRPr="00416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объектов</w:t>
      </w:r>
    </w:p>
    <w:p w:rsidR="00416577" w:rsidRPr="00416577" w:rsidRDefault="00416577" w:rsidP="00416577">
      <w:pPr>
        <w:spacing w:line="225" w:lineRule="atLeast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  <w:t>Изображение: </w:t>
      </w:r>
      <w:hyperlink r:id="rId18" w:tgtFrame="_blank" w:history="1">
        <w:r w:rsidRPr="00416577">
          <w:rPr>
            <w:rFonts w:ascii="Times New Roman" w:eastAsia="Times New Roman" w:hAnsi="Times New Roman" w:cs="Times New Roman"/>
            <w:color w:val="CC3333"/>
            <w:sz w:val="24"/>
            <w:szCs w:val="24"/>
            <w:u w:val="single"/>
            <w:lang w:eastAsia="ru-RU"/>
          </w:rPr>
          <w:t>findplanetnine.com</w:t>
        </w:r>
      </w:hyperlink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Батыгин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полагает, что может быть несколько таких объектов. Вероятно, с ними связано положение малой полуоси Планеты Х. Астроном подчеркивает, что с момента опубликования данных о Планете Х на ее существование указывают уже не шесть, а 13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из них к стабильному кластеру </w:t>
      </w:r>
      <w:hyperlink r:id="rId19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относятся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 10 небесных тел.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одни астрономы сомневаются в Планете Х, другие находят новые свидетельства в ее пользу. Испанские ученые Карлос и Рауль де ла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Фуэнте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Маркос </w:t>
      </w:r>
      <w:hyperlink r:id="rId20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исследовали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параметры орбит комет и астероидов в поясе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Обнаруженные аномалии движения объектов (корреляции между долготой восходящего узла и наклонением) легко объясняются, по мнению авторов, присутствием в Солнечной системе массивного тела, большая полуось орбиты которого составляет 300-400 астрономических единиц.</w:t>
      </w:r>
    </w:p>
    <w:p w:rsidR="00416577" w:rsidRPr="00416577" w:rsidRDefault="00416577" w:rsidP="00416577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1215" cy="4005580"/>
            <wp:effectExtent l="0" t="0" r="0" b="0"/>
            <wp:docPr id="1" name="Рисунок 1" descr="Ма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77" w:rsidRPr="00416577" w:rsidRDefault="00416577" w:rsidP="00416577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Марс</w:t>
      </w:r>
    </w:p>
    <w:p w:rsidR="00416577" w:rsidRPr="00416577" w:rsidRDefault="00416577" w:rsidP="00416577">
      <w:pPr>
        <w:spacing w:line="225" w:lineRule="atLeast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  <w:t>Фото: Globallookpress.com</w:t>
      </w:r>
    </w:p>
    <w:p w:rsidR="00416577" w:rsidRPr="00416577" w:rsidRDefault="00416577" w:rsidP="00416577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в Солнечной системе может быть не девять, а десять планет. Недавно астрономы из Аризонского университета (США) </w:t>
      </w:r>
      <w:hyperlink r:id="rId22" w:tgtFrame="_blank" w:history="1">
        <w:r w:rsidRPr="00416577">
          <w:rPr>
            <w:rFonts w:ascii="Times New Roman" w:eastAsia="Times New Roman" w:hAnsi="Times New Roman" w:cs="Times New Roman"/>
            <w:color w:val="CC9999"/>
            <w:sz w:val="24"/>
            <w:szCs w:val="24"/>
            <w:u w:val="single"/>
            <w:lang w:eastAsia="ru-RU"/>
          </w:rPr>
          <w:t>допустили</w:t>
        </w:r>
      </w:hyperlink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существование в поясе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одного небесного тела, размерами и массой близкими к Марсу. Расчеты показывают, что гипотетическая десятая планета удалена от светила на расстояние 50 астрономических единиц, а ее орбита наклонена к плоскости эклиптики на восемь </w:t>
      </w:r>
      <w:bookmarkStart w:id="0" w:name="_GoBack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градусов. Небесное тело оказывает возмущение на известные объекты из пояса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</w:t>
      </w:r>
      <w:bookmarkEnd w:id="0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в древности находилось ближе к Солнцу. Специалисты отмечают, что наблюдаемые эффекты не объясняются влиянием Планеты Х, расположенной значительно дальше «второго Марса».</w:t>
      </w:r>
    </w:p>
    <w:p w:rsidR="00416577" w:rsidRPr="00416577" w:rsidRDefault="00416577" w:rsidP="004165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известно около двух тысяч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 С вводом новых обсерваторий, в частности LSST (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Large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Synoptic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Survey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Telescope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JWST (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James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Webb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Telescope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ученые планируют довести число известных объектов в поясе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его пределами до 40 тысяч. Это позволит не только определить точные параметры траекторий </w:t>
      </w:r>
      <w:proofErr w:type="spellStart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транснептуновых</w:t>
      </w:r>
      <w:proofErr w:type="spellEnd"/>
      <w:r w:rsidRPr="004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и, как следствие, косвенно доказать (или опровергнуть) существование Планеты Х и «второго Марса», но также и напрямую обнаружить их.</w:t>
      </w:r>
    </w:p>
    <w:p w:rsidR="00416577" w:rsidRPr="00416577" w:rsidRDefault="00416577" w:rsidP="0041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Вepxняя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одeждa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натурaльнoй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кожи. Скидки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дo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70%.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Oплатa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пoсле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примepки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Гаpантия</w:t>
      </w:r>
      <w:proofErr w:type="spellEnd"/>
      <w:r w:rsidRPr="004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22200" w:rsidRPr="00416577" w:rsidRDefault="00D22200">
      <w:pPr>
        <w:rPr>
          <w:rFonts w:ascii="Times New Roman" w:hAnsi="Times New Roman" w:cs="Times New Roman"/>
          <w:sz w:val="24"/>
          <w:szCs w:val="24"/>
        </w:rPr>
      </w:pPr>
    </w:p>
    <w:sectPr w:rsidR="00D22200" w:rsidRPr="0041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91"/>
    <w:rsid w:val="00416577"/>
    <w:rsid w:val="009D2491"/>
    <w:rsid w:val="00D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4708-BBDB-45F1-8CB3-5E941B6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16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gfpn">
    <w:name w:val="ogfpn"/>
    <w:basedOn w:val="a0"/>
    <w:rsid w:val="00416577"/>
  </w:style>
  <w:style w:type="character" w:customStyle="1" w:styleId="khdtg">
    <w:name w:val="khdtg"/>
    <w:basedOn w:val="a0"/>
    <w:rsid w:val="00416577"/>
  </w:style>
  <w:style w:type="character" w:customStyle="1" w:styleId="ptng">
    <w:name w:val="ptng"/>
    <w:basedOn w:val="a0"/>
    <w:rsid w:val="00416577"/>
  </w:style>
  <w:style w:type="character" w:styleId="a3">
    <w:name w:val="Hyperlink"/>
    <w:basedOn w:val="a0"/>
    <w:uiPriority w:val="99"/>
    <w:semiHidden/>
    <w:unhideWhenUsed/>
    <w:rsid w:val="00416577"/>
    <w:rPr>
      <w:color w:val="0000FF"/>
      <w:u w:val="single"/>
    </w:rPr>
  </w:style>
  <w:style w:type="paragraph" w:customStyle="1" w:styleId="b-topicannounce">
    <w:name w:val="b-topic__announce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ydt">
    <w:name w:val="gydt"/>
    <w:basedOn w:val="a0"/>
    <w:rsid w:val="00416577"/>
  </w:style>
  <w:style w:type="character" w:customStyle="1" w:styleId="time">
    <w:name w:val="time"/>
    <w:basedOn w:val="a0"/>
    <w:rsid w:val="00416577"/>
  </w:style>
  <w:style w:type="character" w:customStyle="1" w:styleId="miqjd">
    <w:name w:val="miqjd"/>
    <w:basedOn w:val="a0"/>
    <w:rsid w:val="00416577"/>
  </w:style>
  <w:style w:type="paragraph" w:customStyle="1" w:styleId="hcxollj">
    <w:name w:val="hcxollj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ra">
    <w:name w:val="wtra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qro">
    <w:name w:val="ssqro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zwb">
    <w:name w:val="qzwb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edhhpg">
    <w:name w:val="iedhhpg"/>
    <w:basedOn w:val="a0"/>
    <w:rsid w:val="00416577"/>
  </w:style>
  <w:style w:type="character" w:customStyle="1" w:styleId="zalxyje">
    <w:name w:val="zalxyje"/>
    <w:basedOn w:val="a0"/>
    <w:rsid w:val="00416577"/>
  </w:style>
  <w:style w:type="character" w:customStyle="1" w:styleId="itemmdash">
    <w:name w:val="item__mdash"/>
    <w:basedOn w:val="a0"/>
    <w:rsid w:val="00416577"/>
  </w:style>
  <w:style w:type="paragraph" w:customStyle="1" w:styleId="axqofa">
    <w:name w:val="axqofa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zcsl">
    <w:name w:val="spzcsl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qqxw">
    <w:name w:val="bqqxw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co">
    <w:name w:val="btco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nwfls">
    <w:name w:val="bxnwfls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tw">
    <w:name w:val="fgtw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yj">
    <w:name w:val="ntyj"/>
    <w:basedOn w:val="a"/>
    <w:rsid w:val="004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gr">
    <w:name w:val="epgr"/>
    <w:basedOn w:val="a0"/>
    <w:rsid w:val="00416577"/>
  </w:style>
  <w:style w:type="character" w:customStyle="1" w:styleId="bzhonks">
    <w:name w:val="bzhonks"/>
    <w:basedOn w:val="a0"/>
    <w:rsid w:val="00416577"/>
  </w:style>
  <w:style w:type="character" w:customStyle="1" w:styleId="mqatea">
    <w:name w:val="mqatea"/>
    <w:basedOn w:val="a0"/>
    <w:rsid w:val="00416577"/>
  </w:style>
  <w:style w:type="character" w:customStyle="1" w:styleId="gvboeci">
    <w:name w:val="gvboeci"/>
    <w:basedOn w:val="a0"/>
    <w:rsid w:val="00416577"/>
  </w:style>
  <w:style w:type="character" w:customStyle="1" w:styleId="dimcc">
    <w:name w:val="dimcc"/>
    <w:basedOn w:val="a0"/>
    <w:rsid w:val="0041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1913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589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859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35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124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5D5D5"/>
                        <w:right w:val="none" w:sz="0" w:space="0" w:color="auto"/>
                      </w:divBdr>
                      <w:divsChild>
                        <w:div w:id="957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86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98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5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2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  <w:divsChild>
                    <w:div w:id="19170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646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5D5D5"/>
                        <w:right w:val="none" w:sz="0" w:space="0" w:color="auto"/>
                      </w:divBdr>
                      <w:divsChild>
                        <w:div w:id="2918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94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64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7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  <w:divsChild>
                    <w:div w:id="5381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  <w:divsChild>
                    <w:div w:id="1065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66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84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36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nta.ru/articles/2016/01/21/theninthone1/" TargetMode="External"/><Relationship Id="rId18" Type="http://schemas.openxmlformats.org/officeDocument/2006/relationships/hyperlink" Target="http://www.findplanetnine.com/2017/06/status-update-part-1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lenta.ru/articles/2016/01/21/planetx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findplanetnine.com/2017/06/status-update-part-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ta.ru/news/2017/06/22/planetx/" TargetMode="External"/><Relationship Id="rId20" Type="http://schemas.openxmlformats.org/officeDocument/2006/relationships/hyperlink" Target="https://academic.oup.com/mnrasl/article-abstract/doi/10.1093/mnrasl/slx106/3892345/Evidence-for-a-possible-bimodal-distribution-of?redirectedFrom=full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lenta.ru/tags/organizations/lenta-ru/" TargetMode="External"/><Relationship Id="rId11" Type="http://schemas.openxmlformats.org/officeDocument/2006/relationships/hyperlink" Target="https://lenta.ru/tags/persons/braun-may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olarsystem.nasa.gov/planets/planetx" TargetMode="External"/><Relationship Id="rId15" Type="http://schemas.openxmlformats.org/officeDocument/2006/relationships/hyperlink" Target="https://lenta.ru/articles/2016/01/21/theninthone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nta.ru/news/2016/01/20/planetx/" TargetMode="External"/><Relationship Id="rId19" Type="http://schemas.openxmlformats.org/officeDocument/2006/relationships/hyperlink" Target="http://www.findplanetnine.com/2017/07/status-update-part-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nta.ru/articles/2016/01/21/planetx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lenta.ru/news/2017/06/22/mars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2020-12-08T10:44:00Z</dcterms:created>
  <dcterms:modified xsi:type="dcterms:W3CDTF">2020-12-08T10:46:00Z</dcterms:modified>
</cp:coreProperties>
</file>