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3" w:rsidRDefault="00AD6733" w:rsidP="00AD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Дата:18.12.2020</w:t>
      </w:r>
    </w:p>
    <w:p w:rsidR="00AD6733" w:rsidRDefault="00AD6733" w:rsidP="00AD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Группа:18-ПСО-1д</w:t>
      </w:r>
    </w:p>
    <w:p w:rsidR="00AD6733" w:rsidRDefault="00AD6733" w:rsidP="00AD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Наименования дисциплины :БЖ</w:t>
      </w:r>
    </w:p>
    <w:p w:rsidR="00AD6733" w:rsidRDefault="00AD6733" w:rsidP="00AD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№20. Требования к искусственному производственному освещению.</w:t>
      </w:r>
    </w:p>
    <w:p w:rsidR="00AD6733" w:rsidRDefault="00AD6733" w:rsidP="00AD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является естественным условием жизнедеятельности человека. Он оказывает положительное влияние на эмоциональное состояние человека, воздействует на обмен веществ, сердечно - сосудистую, нервно - психическую системы, является важным стимулятором не только зрительного анализатора, но и организма вцелом. Более 80 % всей информации о внешней среде поступает в мозг человека через глаза. 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нм = 1×10-9 м). Чувствительность глаза максимальна в зеленой области спектра при =554 нм.</w:t>
      </w:r>
      <w:r>
        <w:rPr>
          <w:rFonts w:ascii="Times New Roman" w:hAnsi="Times New Roman" w:cs="Times New Roman"/>
          <w:sz w:val="28"/>
          <w:szCs w:val="28"/>
        </w:rPr>
        <w:sym w:font="Symbol" w:char="006C"/>
      </w:r>
      <w:r>
        <w:rPr>
          <w:rFonts w:ascii="Times New Roman" w:hAnsi="Times New Roman" w:cs="Times New Roman"/>
          <w:sz w:val="28"/>
          <w:szCs w:val="28"/>
        </w:rPr>
        <w:t xml:space="preserve">длине волны  Таблица 1 Соотношение цветовой гаммы и длин волн Цвет Фиолетовый Синий Голубой Зеленый Желтый Оранжевый Красный Длина волны (нм) 380-440 440-480 480-510 510-550 550-585 585-620 620-780 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 По данным НИИ труда оптимизация производственного освещения способствует повышению производительности труда на 10 – 20%, уменьшению брака на 20 % и снижению количества несчастных случаев на 30 %. 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случаев на предприятиях, а также глазных болезней, головных болей, быстрой утомляемости. С другой стороны, существует опасность отрицательного влияния на органы зрения слишком большой яркости (блесткости) источников света. Следствием этого может явиться временное нарушение зрительных функций глаза (явление слепимости). С целью обеспечения нормальных условий труда и защиты зрения человека в производственных помещениях должно устраиваться освещение,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отвечающее требованиям соответствующих норм и правил. 1. Основные показатели производственного освещения Производственное освещение характеризуется показателями: — количественными: световой поток, сила света, освещенность, яркость, коэффициенты отражения, пропускания и поглощения, объект различения; 3 — качественными: фон, контраст объекта с фоном, видимость, блесткость, показатель ослепленности, показатель дискомфорта, коэффициент пульсации освещенности. Количественные характеристики производственного освещения. Световой поток F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 Сила света I — световой поток, отнесенный к телесному углу, и в котором он излучается: , кд, (1)</w:t>
      </w:r>
      <w:r>
        <w:rPr>
          <w:rFonts w:ascii="Times New Roman" w:hAnsi="Times New Roman" w:cs="Times New Roman"/>
          <w:sz w:val="28"/>
          <w:szCs w:val="28"/>
        </w:rPr>
        <w:sym w:font="Symbol" w:char="0077"/>
      </w:r>
      <w:r>
        <w:rPr>
          <w:rFonts w:ascii="Times New Roman" w:hAnsi="Times New Roman" w:cs="Times New Roman"/>
          <w:sz w:val="28"/>
          <w:szCs w:val="28"/>
        </w:rPr>
        <w:t xml:space="preserve"> F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>I   — телесный угол (в стерадианах) или часть</w:t>
      </w:r>
      <w:r>
        <w:rPr>
          <w:rFonts w:ascii="Times New Roman" w:hAnsi="Times New Roman" w:cs="Times New Roman"/>
          <w:sz w:val="28"/>
          <w:szCs w:val="28"/>
        </w:rPr>
        <w:sym w:font="Symbol" w:char="0077"/>
      </w:r>
      <w:r>
        <w:rPr>
          <w:rFonts w:ascii="Times New Roman" w:hAnsi="Times New Roman" w:cs="Times New Roman"/>
          <w:sz w:val="28"/>
          <w:szCs w:val="28"/>
        </w:rPr>
        <w:t>где  пространства, заключенного внутри конической поверхности (рис. 1). 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Телесный угол измеряется отношением площади той части сферы с центром в вершине угла, которая вырезается этим телесным углом, к квадрату радиуса сферы:  S R , стерадиан. (2)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sym w:font="Symbol" w:char="0077"/>
      </w:r>
      <w:r>
        <w:rPr>
          <w:rFonts w:ascii="Times New Roman" w:hAnsi="Times New Roman" w:cs="Times New Roman"/>
          <w:sz w:val="28"/>
          <w:szCs w:val="28"/>
        </w:rPr>
        <w:t>2  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 Освещенность Е характеризует поверхностную плотность светового потока и определяется отношением светового потока F, падающего на поверхность, к ее площади S:  F S, лк. (3)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E  Единицей измерения освещенности является люкс (лк). Один люкс равен освещенности поверхности площадью 1 м 2 , по которой равномерно распределен световой поток в один люмен (1 лк = 1 лм/м2 ). Например, лунный свет дает освещенность 0,25 лк; солнце сквозь облака – 10 000 лк; солнечный свет – 100 000 лк; освещение в офисе – 300-2000 лк; дорожное освещение 10-50 лк. 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 Яркостью L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 </w:t>
      </w:r>
      <w:r>
        <w:rPr>
          <w:rFonts w:ascii="Times New Roman" w:hAnsi="Times New Roman" w:cs="Times New Roman"/>
          <w:sz w:val="28"/>
          <w:szCs w:val="28"/>
        </w:rPr>
        <w:sym w:font="Symbol" w:char="0077"/>
      </w:r>
      <w:r>
        <w:rPr>
          <w:rFonts w:ascii="Times New Roman" w:hAnsi="Times New Roman" w:cs="Times New Roman"/>
          <w:sz w:val="28"/>
          <w:szCs w:val="28"/>
        </w:rPr>
        <w:t xml:space="preserve"> Рис. 1. Телесный угол 4 </w:t>
      </w:r>
      <w:r>
        <w:rPr>
          <w:rFonts w:ascii="Times New Roman" w:hAnsi="Times New Roman" w:cs="Times New Roman"/>
          <w:sz w:val="28"/>
          <w:szCs w:val="28"/>
        </w:rPr>
        <w:sym w:font="Symbol" w:char="006A"/>
      </w:r>
      <w:r>
        <w:rPr>
          <w:rFonts w:ascii="Times New Roman" w:hAnsi="Times New Roman" w:cs="Times New Roman"/>
          <w:sz w:val="28"/>
          <w:szCs w:val="28"/>
        </w:rPr>
        <w:t xml:space="preserve"> cos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S I L , кд/м2 , (4)  — угол к нормали светящейся поверхности.</w:t>
      </w:r>
      <w:r>
        <w:rPr>
          <w:rFonts w:ascii="Times New Roman" w:hAnsi="Times New Roman" w:cs="Times New Roman"/>
          <w:sz w:val="28"/>
          <w:szCs w:val="28"/>
        </w:rPr>
        <w:sym w:font="Symbol" w:char="006A"/>
      </w:r>
      <w:r>
        <w:rPr>
          <w:rFonts w:ascii="Times New Roman" w:hAnsi="Times New Roman" w:cs="Times New Roman"/>
          <w:sz w:val="28"/>
          <w:szCs w:val="28"/>
        </w:rPr>
        <w:t xml:space="preserve">где  Единицей измерения яркости служит кандела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квадратный метр (кд/м2 ). Например, яркость люминесцентной лампы 0,8 кд/м2 . Яркость хорошо освещённой улицы 2 кд/м2 . Полуденное солнце 150 000 кд/м2 . Cила света свечи – около 1 кд/м2 , а свет маяка может достигать силы 2 000 000 кд/м2 .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способность поверхности отражать падающий на нее световой поток. Определяется как отношение отраженного от поверхности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Коэффициент отражения  к падающему на нее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>F  . (5)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прошедшего через поверхность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Коэффициент пропускания  к падающему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>F  . (6)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поглощения поверхностью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>Коэффициент поглощения  к падающему световому потоку F. F  . (7)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>F Коэффициенты отражения, пропускания и поглощения являются безразмерными и измеряются в долях или процентах. Во всех случаях сохраняется условие:  1. (8)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Объект различения — наименьший рассматриваемый предмет, который необходимо различить в процессе работы. Качественные характеристики производственного освещения. К основным показателям, определяющим условия зрительной работы, относятся качественные характеристики производственного освещения.  (табл. 2).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>Фон — это поверхность, прилегающая непосредственно к объекту различения, на которой он рассматривается. Светлость фона характеризуется коэффициентом отражения  Таблица 2 Характеристики фона Фон Светлый Средний Темный  0,2</w:t>
      </w:r>
      <w:r>
        <w:rPr>
          <w:rFonts w:ascii="Times New Roman" w:hAnsi="Times New Roman" w:cs="Times New Roman"/>
          <w:sz w:val="28"/>
          <w:szCs w:val="28"/>
        </w:rPr>
        <w:sym w:font="Symbol" w:char="003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0,2 </w:t>
      </w:r>
      <w:r>
        <w:rPr>
          <w:rFonts w:ascii="Times New Roman" w:hAnsi="Times New Roman" w:cs="Times New Roman"/>
          <w:sz w:val="28"/>
          <w:szCs w:val="28"/>
        </w:rPr>
        <w:sym w:font="Symbol" w:char="0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0,4 0,4 ≥ </w:t>
      </w:r>
      <w:r>
        <w:rPr>
          <w:rFonts w:ascii="Times New Roman" w:hAnsi="Times New Roman" w:cs="Times New Roman"/>
          <w:sz w:val="28"/>
          <w:szCs w:val="28"/>
        </w:rPr>
        <w:sym w:font="Symbol" w:char="0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Контраст объекта с фоном К характеризуется отношением разности яркостей рассматриваемого объекта и фона к одной из этих яркостей (табл. 3):  , (9)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L ) L ; K 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(L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>o ф ф o ф ф K  5 где Lo и Lф — соответственно яркости объекта и фона; о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 xml:space="preserve"> ф — коэффициенты отражения объекта и фона.</w:t>
      </w:r>
      <w:r>
        <w:rPr>
          <w:rFonts w:ascii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hAnsi="Times New Roman" w:cs="Times New Roman"/>
          <w:sz w:val="28"/>
          <w:szCs w:val="28"/>
        </w:rPr>
        <w:t>и  Таблица 3 Характеристики контраста объекта различения с фоном Контраст Большой Средний Малый  0,2</w:t>
      </w:r>
      <w:r>
        <w:rPr>
          <w:rFonts w:ascii="Times New Roman" w:hAnsi="Times New Roman" w:cs="Times New Roman"/>
          <w:sz w:val="28"/>
          <w:szCs w:val="28"/>
        </w:rPr>
        <w:sym w:font="Symbol" w:char="003C"/>
      </w:r>
      <w:r>
        <w:rPr>
          <w:rFonts w:ascii="Times New Roman" w:hAnsi="Times New Roman" w:cs="Times New Roman"/>
          <w:sz w:val="28"/>
          <w:szCs w:val="28"/>
        </w:rPr>
        <w:t xml:space="preserve"> 0,2 К </w:t>
      </w:r>
      <w:r>
        <w:rPr>
          <w:rFonts w:ascii="Times New Roman" w:hAnsi="Times New Roman" w:cs="Times New Roman"/>
          <w:sz w:val="28"/>
          <w:szCs w:val="28"/>
        </w:rPr>
        <w:sym w:font="Symbol" w:char="003E"/>
      </w:r>
      <w:r>
        <w:rPr>
          <w:rFonts w:ascii="Times New Roman" w:hAnsi="Times New Roman" w:cs="Times New Roman"/>
          <w:sz w:val="28"/>
          <w:szCs w:val="28"/>
        </w:rPr>
        <w:t xml:space="preserve"> 0,5 0,5 ≥ К </w:t>
      </w:r>
      <w:r>
        <w:rPr>
          <w:rFonts w:ascii="Times New Roman" w:hAnsi="Times New Roman" w:cs="Times New Roman"/>
          <w:sz w:val="28"/>
          <w:szCs w:val="28"/>
        </w:rPr>
        <w:sym w:font="Symbol" w:char="003E"/>
      </w:r>
      <w:r>
        <w:rPr>
          <w:rFonts w:ascii="Times New Roman" w:hAnsi="Times New Roman" w:cs="Times New Roman"/>
          <w:sz w:val="28"/>
          <w:szCs w:val="28"/>
        </w:rPr>
        <w:t>К  Объект и фон резко отличаются по яркости Объект и фон заметно отличаются по яркости Объект и фон мало отличаются по яркости  1, при его отсутствии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>Когда объект имеет абсолютный контраст, то K   0. Минимальная величина K , при которой глаз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>(объект сливается с фоном) K  воспринимает соседние детали, называется порогом контрастной ослепленности глаза. Она зависит от яркости объекта и фона, его углового размера и чёткости контура объекта на фоне. Видимость V — расстояние, на котором наблюдаемый объект становится не различим глазом; зависит от освещенности, размера объекта, его яркости, контраста объекта с фоном, длительности экспозиции (представления). Видимость определяется числом пороговых контрастов в контрасте объекта с фоном:  K Kпор , (10)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V  где K </w:t>
      </w:r>
      <w:r>
        <w:rPr>
          <w:rFonts w:ascii="Times New Roman" w:hAnsi="Times New Roman" w:cs="Times New Roman"/>
          <w:sz w:val="28"/>
          <w:szCs w:val="28"/>
        </w:rPr>
        <w:lastRenderedPageBreak/>
        <w:t>— контраст объекта с фоном; Kпор — пороговый контраст, т.е. наименьший различимый глазом контраст, при небольшом уменьшении которого объект становится неразличимым. Блескость — повышенная яркость светящихся поверхностей, вызывающая нарушение зрительных функций (ослепленность), т.е. ухудшение видимости объектов. Снижение видимости при появлении в поле зрения блестких источников света называется ослепленностью. Ослепленность приводит к быстрому утомлению и снижению работоспособности. Показатель ослепленности Р — критерий оценки слепящего действия осветительной установки, определяется выражением 3 10 , (11)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(S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>P   V1 V2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где S – коэффициент ослепленности, где S  ; V1 и V2 — видимость объекта различения соответственно при экранировании и наличии ярких источников света в поле зрения. Максимальное значение коэффициента ослепленности не должно превышать 4. Показатель дискомфорта М – критерий оценки дискомфортной блескости, вызывающей неприятные ощущения при неравномерном распределении яркостей в поле зрения. Коэффициент пульсации освещенности Кп – критерий оценки относительной глубины колебаний освещенности в результате изменения во времени 6 светового потока газоразрядных ламп при питании их переменным током, выражающийся формулой 100 2 Е Е Е К ср макс мин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, %, (12)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где макс мин Еср Е ,Е , – соответственно максимальное, минимальное и среднее значения освещенности за период ее колебания, лк. Для измерения и контроля освещенности применяют люксметр,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люксах. Для измерений силы света и яркости применяют фотометры типа ФПЧ (фотометры фотоэлектрические для измерения яркости источников света со 10-2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>сплошным спектром излучения. Пределы измерения от 2 10-4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до 5 кд/м2 . Спектральный диапазон 400-750 нм). Измерение освещенности проводят по ГОСТ 24940—96 «Методы измерения освещенности». 2. Виды производственного освещения В соответствии с ТКП 45-2.04-153-2009«Естественное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 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верхние световые проемы, фонари (верхнее) или обоими способами одновременно (комбинированное освещение). Достоинства: экономичность, благоприятное воздействие на организм человека, естественная цветопередача предметов. Недостатки: переменно в течение суток, зависит от климатических, сезонных и географических условий. Искусственное освещение создается электрическими источниками света (лампами накаливания и (или) газоразрядными лампами). По конструктивному исполнению искусственное освещение подразделяют на общее и комбинированное (общее + местное). 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 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 7 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комбинированном должна быть не менее 10%. 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 Система общего освещения должна соответствовать следующим требованиям: – светильники должны быть оснащены антибликовыми приспособлениями (сетками, диффузорами и т.д.); – часть света должна быть направлена на потолок и на верхнюю часть стен; – светильники должны быть установлены вне поля зрительной видимости работника, чтобы уменьшить ослепление и сделать освещение более однородным. По функциональному назначению искусственное освещение подразделяется на рабочее, аварийное, охранное и дежурное.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освещения помещений используют наиболее экономичные газоразрядные лампы. Использование ламп накаливания для общего освещения допускается только в случае невозможности или техникоэкономической нецелесообразности использования газоразрядных ламп. Для местного освещения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газоразрядных источников света рекомендуется использовать лампы накаливания, в том числе галогенные. Аварийное освещение разделяется на освещение безопасности и эвакуационное. Освещение безопасности предназначено для освещения помещений при аварийном отключении рабочего освещения в случае взрыва, пожара, отравления людей; длительного нарушения технологического процесса, нарушения режима работы детских учреждений, нарушения работы электрических станций, узлов радио- и телевизионных передач и связи, диспетчерских пунктов, насосных установок водоснабжения, канализации и теплофикации, установок вентиляции и кондиционирования воздуха для производственных помещений, в которых недопустимо прекращение работ и т.п. Освещение безопасности должно создавать на рабочих поверхностях наименьшую освещенность в размере 5% освещенности, нормируемой для рабочего освещения от общего освещения, но не менее 2 лк внутри зданий и не менее 1 лк – для территорий предприятий. Питание светильников при этом осуществляется с помощью резервных автономных генераторов. Эвакуационное освещение предназначено для безопасной эвакуации людей из помещений при аварийном отключении рабочего освещения в местах, 8 опасных для прохода людей, на лестницах, вдоль основных проходов производственных помещений, в которых работает более 50 человек. Это освещение должно обеспечивать на полу основных проходов (или на земле) и на ступенях лестниц освещенность 0,5 лк (в помещениях) и 0,2 лк – на открытых территориях. Для аварийного освещения (освещения безопасности и эвакуационного) следует применять лампы накаливания; люминесцентные лампы – в помещениях с минимальной температурой воздуха не менее 5°С при условии питания ламп во всех режимах напряжением не ниже 90 % номинального; газоразрядные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напряжения, так и в холодном состоянии. Охранное освещение предусматривается вдоль границ территории, охраняемых в ночное время; оно должно обеспечивать освещенность не менее 0,5 лк на уровне земли. Для охранного освещения могут использоваться любые источники света, за исключением случаев, когда охранное освещение нормально не горит и автоматически включается от действия охранной сигнализации или других технических средств. В таких случаях должны применяться лампы накаливания. Дежурное освещение предназначено для минимального искусственного освещения при несении дежурств, охраны, в нерабочее время, совпадающее с темным временем суток. Для дежурного освещения могут использоваться любые источники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света. Кроме естественного и искусственного освещения может применяться их сочетание, когда освещенности за счет естественного света недостаточно для выполнения той или иной работы. Такое освещение называется совмещенным. Для выполнения работы наивысшей, очень высокой и высокой точности обычно естественной освещенности недостаточно и поэтому применяют совмещенное освещение. 3. Основные требования к искусственному освещению производственных помещений 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 а) возможность выполнения работ одного зрительного разряда по всему помещению; б) высокая плотность рабочих мест; в) невысокая точность работ. Предпосылками для устройства комбинированного освещения являются: а) высокая точность работ; б) необходимость определенного направления света; в) невысокая плотность распределения рабочих мест в помещении. Требования, которым должно отвечать освещение на рабочем месте: 9  освещенность должна соответствовать характеру зрительной работы;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яркость света должна быть достаточной;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равномерное распределение светового потока по рабочей поверхности;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источник света не должен слепить глаза;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освещение должно быть рассеянным и не создавать глубоких теней;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величина освещения постоянна во времени (Кп не превышает нормативных значений);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оптимальный спектральный состав;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все элементы осветительных установок должны быть долговечны, взрыво-, пожаро-, электробезопасны.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4. Электрические источники света Источники света являются важнейшими составными частями осветительных установок промышленных предприятий. Правильный выбор типов и мощности ламп оказывает решающее влияние на эксплуатационные качества и экономическую эффективность осветительных установок, на соответствие искусственного освещения предъявленным к нему требованиям. В осветительных установках, предназначенных для освещения производственных помещений и территорий предприятий, в качестве источников света применяют: – лампы накаливания; – газоразрядные лампы низкого давления (люминесцентные) и высокого давления. Основные характеристики ламп: – электрическая мощность W, Вт; – световой поток F, лм; ;</w:t>
      </w:r>
      <w:r>
        <w:rPr>
          <w:rFonts w:ascii="Times New Roman" w:hAnsi="Times New Roman" w:cs="Times New Roman"/>
          <w:sz w:val="28"/>
          <w:szCs w:val="28"/>
        </w:rPr>
        <w:sym w:font="Symbol" w:char="0068"/>
      </w:r>
      <w:r>
        <w:rPr>
          <w:rFonts w:ascii="Times New Roman" w:hAnsi="Times New Roman" w:cs="Times New Roman"/>
          <w:sz w:val="28"/>
          <w:szCs w:val="28"/>
        </w:rPr>
        <w:t>– удельная световая отдача   F W , лм/Вт. (13)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8"/>
      </w:r>
      <w:r>
        <w:rPr>
          <w:rFonts w:ascii="Times New Roman" w:hAnsi="Times New Roman" w:cs="Times New Roman"/>
          <w:sz w:val="28"/>
          <w:szCs w:val="28"/>
        </w:rPr>
        <w:t xml:space="preserve"> Световая отдача показывает, с какой экономичностью потребляемая электрическая мощность преобразуется в свет. – номинальное напряжение питающей сети U, B; – средний срок службы t, ч. В системах производственного освещения предпочтение отдается газоразрядным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лампам. Использование ламп накаливания допускается в случае невозможности или экономической нецелесообразности применения газоразрядных ламп. Лампы накаливания. Они относятся к тепловым источникам света, в которых свечение возникает путем нагревания нити накала (как правило, вольфрамовой) до высоких температур. Лампы накаливания применяются в помещениях, где проводят грубые работы или осуществляют общих надзор за работой оборудования, например, установок вентиляции и кондиционирования воздуха. Сохраняется определяющее значение ламп накаливания в светильниках местного освещения, хотя при организации местного освещения могут использо- 10 ваться люминесцентные лампы небольшой мощности. В системах производственного освещения применяются лампы накаливания общего назначения с номинальным напряжением 127В и 220В и лампы накаливания местного освещения с напряжением 24В и 40В. Достоинства ламп накаливания: – относительно низкая стоимость; – простота в изготовлении; – удобство и надежность в эксплуатации (не требуют включения в сеть дополнительных пусковых устройств); – имеют незначительный период разгорания; – компактны; – практически не зависят от условий окружающей среды; – световой поток к концу срока службы снижается незначительно. Недостатки ламп накаливания: – низкая световая отдача (не более 20 лм/Вт), а, следовательно, неэкономичность эксплуатации; – небольшой срок службы (до 1 000 ч.); – неблагоприятный спектральный состав (преобладание желтой и красной частей спектра при недостатке в синей и фиолетовой его частях по сравнению с естественным светом, что искажает цветовое восприятие); – нерациональное распределение светового потока для большинства ламп, что требует применения осветительной арматуры (светильников). Галогенные лампы накаливания (ГЛН) наряду с вольфрамовой нитью содержат в колбе пары галогена (йод, бром), который повышает температуру накала нити и практически исключает испарение. По сравнению с лампами накаливания они имеют значительно меньшие размеры, более высокие термостойкость и механическую прочность, благодаря применению кварцевой колбы, а также продолжительный срок службы (до 2 000 ч) и повышенную светоотдачу (до 22 лм/Вт). ГЛН применяются в системах общего освещения, прожекторах и т.п. Газоразрядные лампы низкого давления. Иначе их называют люминесцентными. Люминесцентная лампа — газоразрядный источник света, световой поток которого определяется в основном свечением люминофоров под воздействием электрических зарядов, проходящих через него. Наиболее распространённой разновидностью подобных источников является ртутная люминесцентная лампа. При работе люминесцентной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лампы между двумя электродами, находящимися в противоположных концах лампы, возникает электрический разряд (рис. 2). Стеклянная трубка заполнена парами ртути под низким давлением, проходящий ток приводит к появлению ультрафиолетового излучения. Это излучение невидимо для человеческого глаза, поэтому его преобразуют в видимый свет с помощью явления люминесценции. Внутренние стенки лампы покрыты специальным веществом – люминофором, которое поглощает ультрафиолетовое излучение и выделяет видимый свет. Изменяя состав люминофора можно менять оттенок получаемого света. 11 В зависимости от марок люминофора различают несколько типов люминесцентных ламп (ЛЛ). Например, лампы: дневного света (ЛД); дневного света с улучшенной цветопередачей (ЛДЦ); холодного белого света (ЛХБ); теплого белого света (ЛТБ); белого света (ЛБ); холодного естественного света (ЛХЕ); естественного света с улучшенной цветопередачей (ЛЕЦ); с внутренним отражающим слоем (ЛБР); естественного света (ЛЕ); компактные (КЛЛ); белового света с улучшенной цветопередачей трехполосные (ЛБЦТ) и другие. Рисунок 2. Принцип генерации света в люминесцентных лампах на примере лампы с термокатодом Выбор типа люминесцентных ламп для освещения того или иного рабочего помещения зависит от особенностей работы и окраски помещения. Лампы ЛЕ и ЛДЦ следует применять в тех случаях, когда предъявляются специальные требования к определению цвета. Лампы ЛТБ, излучающие розоватый свет, можно применять в помещениях для отдыха. Во всех остальных случаях рекомендуются лампы типа ЛБ как наиболее экономичные, дающие более теплый свет. Компактная люминесцентная лампа – лампа, имеющая меньшие размеры по сравнению с колбчатой лампой и меньшую чувствительность к механическим повреждениям. Разновидность компактных ламп имеет возможность установки в стандартный патрон для ламп накаливания. Основное преимущество компактных люминесцентных ламп – экономичность в компактной форме. Они позволяют снизить расходы на электричество до 80% по сравнению с лампами накаливания, причем срок службы может быть больше в 15 раз. Существуют варианты ламп со встроенным электронным пускорегулирующим аппаратом и резьбовым цоколем для прямой замены обычных ламп накаливания, применяются в профессиональных и бытовых осветительных установках. Достоинства по сравнению с лампами накаливания:  высокая световая отдача (до 75 лм/Вт);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(до 10 000 ч);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экономичность;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возможность применения источника света различного спектрального состава при лучшей для большинства типов цветопередаче;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относительно малая (хотя и создающая </w:t>
      </w:r>
      <w:r>
        <w:rPr>
          <w:rFonts w:ascii="Times New Roman" w:hAnsi="Times New Roman" w:cs="Times New Roman"/>
          <w:sz w:val="28"/>
          <w:szCs w:val="28"/>
        </w:rPr>
        <w:lastRenderedPageBreak/>
        <w:t>ослепленность) яркость;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12  выделяют значительно меньше тепла.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относительная сложность схемы включения;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ограниченная единичная мощность;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зависимость от условий эксплуатации (при низкой температуре и большой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влажности они плохо загораются и быстро выходят из строя. Для оптимальной их работы температура в помещении должна быть 18-25 оС, а влажность не более 70%).  значительное снижение светового потока к концу 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вредные для зрения пульсации светового потока с частотой 100 Гц (могут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быть устранены или уменьшены только при совокупности действий нескольких ламп и соответствующих схемах включения).  стробоскопический эффект, т.е. искажение зрительного восприятия в пульсирующем световом потоке (например, вращающиеся части оборудования могут восприниматься как неподвижные или движущиеся в обратном направлении), что создает травмоопасную ситуацию.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Газоразрядные лампы высокого давления. Различают дуговые ртутные люминесцентные лампы (ДРЛ), дуговые ртутные лампы с добавкой металлов (ДРИ), ксеноновые газоразрядные лампы (ДКсТ), натриевые газоразрядные лампы (ДНаТ). Лампа ДРЛ состоит из внутренней кварцевой колбы (пропускающей ультрафиолетовые лучи), которая заполнена парами ртути под давлением 0,2...0,4 МПа, и внешней стеклянной колбы, покрытой люминофором. Лампы ДРЛ позволяют создать большие уровни освещенности без значительных затрат на электроэнергию и применимы в высоких цехах при наличии пыли, дыма и копоти в воздухе. Применяются для освещения территорий предприятий, населенных пунктов, а также производственных помещений большой высоты. Достоинства ДРЛ по сравнению с люминесцентными лампами:  более высокая световая отдача (до 55 лм/Вт);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больший срок службы (10 000-15 000 ч);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компактность;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устойчивость к условиям внешней среды;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меньшая чувствительность к колебаниям напряжения.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длительность разгорания при включении (до 7 мин);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большая пульсация светового потока;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значительное снижение светового потока к концу 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преобладание в спектре лучей сине-зеленой части (что исключает их применение, когда объектами различения являются лица людей или окрашенные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поверхности). В тех случаях, когда нельзя использовать лампы ДРЛ применяются дуговые ртутные лампы с добавкой йодидов металлов (ДРИ), их часто называют металлогалогенными. Они являются одним из наиболее экономичных источни- 13 ков света общего назначения, что позволяет использовать их для освещения производственных помещений большой высоты и площади, строительных площадок, карьеров,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мест работы под открытым небом. Достоинства ДРИ по сравнению с ДРЛ:  высокая световая отдача (75-100 лм/Вт);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лучшая цветопередача.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небольшой срок службы (2 000-5 000 ч);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сложная система включения.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Ксеноновые газоразрядные лампы ДКсТ (дуговые ксеноновые трубчатые). Спектр излучения ксеноновых ламп почти полностью воспроизводит спектр солнечного света, что позволяет правильно воспринимать цветовые оттенки. Лампы применяются только для освещения территорий предприятия в связи с опасностью ультрафиолетового облучения работающих в помещении. Достоинства: лампы ДКсТ выпускаются на единичные мощности от 5 до 10 кВт и имеют самый близкий к естественному свету спектральный состав. Но это их достоинство не используется, поскольку внутри зданий они не применяются. Недостатки: большая пульсация светового потока, избыток в спектре ультрафиолетовых лучей, вызывающий необходимость создания защитных колб; малая надежность пусковых устройств и сравнительно низкая отдача светового потока (по сравнению с ДРЛ, ДРИ, ДНаТ и галогенными источниками повышенной мощности). Натриевые газоразрядные лампы ДНаТ обладают наивысшей эффективностью и удовлетворительной цветопередачей. Их применяют для освещения цехов с большой высотой, где требования к цветопередаче невысоки. Достоинства:  высокая световая отдача (80-150 лм/Вт);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(16 000-28 000 ч);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одна лампа ДНаТ мощностью 250 Вт заменяет по световому потоку две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лампы ДРЛ 250 Вт или три лампы накаливания мощностью по 500 Вт. Недостатки: низкая цветопередача, поэтому в первую очередь они применяются для освещения автомагистралей, туннелей, протяжённых складских помещений, растений в теплицах, архитектурной подсветки и освещения больших открытых пространств. 5. Нормирование и гигиеническая оценка производственного освещения При создании системы производственного освещения руководствуются ТКП 45-2.04-153-2009 «Естественное и искусственное освещение» (табл.1). Нормы освещенности построены на основе классификации работ по определенным количественным признакам. Производственное освещение нормируется в зависимости от: 14 – точности зрительной работы, – яркости фона, – контраста объекта и фона, – системы освещения. 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подразряда в зависимости от характеристики фона и контраста между объектом и фоном. Деление разрядов зрительных работ на подразряды 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более дифференцированно выбрать освещенность для каждой зрительной работы. 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 Нормирование искусственного освещения. Нормирование осуществляется непосредственно по минимальной освещенности рабочей поверхности (Е, лк), в соответствии с ТКП 45-2.04-153-2009. Нормируемые значения освещенности в люксах, отличающиеся на одну ступень, образуют шкалу: 30; 50; 75; 100; 150; 200; 300; 400; 500; 600; 750; 1000; 1250; 1500; 2000; 2500; 3000; 3500; 4000; 4500; 5000 лк. В ряде случаев нормы освещенности необходимо повышать или понижать на одну ступень по шкале освещенности. Например, если работа связана с повышенной опасностью травматизма, размещением деталей на движущихся поверхностях, если напряженная зрительная работа производится непрерывно в течение рабочего дня или различаемые объекты расположены от глаз далее чем на 0,5 м, нормы освещенности повышают на одну ступень согласно специальной шкале освещенностей. В помещениях, где выполняются работы IV – VI разрядов, нормы освещенности следует снижать на одну ступень при кратковременном пребывании людей или при наличии оборудования, не требующего постоянного обслуживания. Нормирование естественного освещения. Непостоянство естественного света даже в течение короткого промежутка времени вызвало необходимость нормировать естественное освещение с помощью относительного показателя – коэффициента естественной освещенности (КЕО, е). КЕО – это отношение естественной освещенности, создаваемой в некоторой точке заданной плоскости внутри помещения, к одновременному значению наружной горизонтальной освещенности, создаваемой светом полностью открытого небосвода, выраженное в процентах: 100%, (14)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(Евн Енар )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КЕО(е)  15 где Евн – освещенность какой-либо точки внутри помещения; Енар – освещенность точки вне помещения. В небольших помещениях при одностороннем боковом естественном освещении (рис. 3 а) нормируется минимальное значение КЕО в точке, расположенной на расстоянии 1 м от стены, наиболее удаленной от световых проемов, на пересечении вертикальной плоскости характерного разреза помещения и условной рабочей поверхности. При двустороннем боковом освещении (рис. 3 б) – в точке посередине помещения на пересечении вертикальной плоскости характерного разреза помещения и условной рабочей поверхности.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верхнем или комбинированном естественном освещении (рис. 3 в, г)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поверхности. Первая и последняя точки принимаются на расстоянии 1м от поверхности стен (перегородок) или осей колонн. Рис. 3. Схема распределения КЕО по разрезу помещения: а – одностороннее боковое освещение; б – двустороннее боковое освещение; в – верхнее освещение; г – комбинированное освещение; 1 – уровень рабочей плоскости Характерный разрез помещения –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 Условная рабочая поверхность – условно принятая горизонтальная поверхность, расположенная на высоте 0,8 м от пола. Для зданий, расположенных в различных районах местности, нормированные значения КЕО или еN определяют по формуле  mN , (15)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eH 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еN  где eH – значения КЕО, приведенные в ТКП 45-2.04-153-2009; mN – коэффициент светового климата для соответствующего номера группы районов; N — номер группы административного района стран СНГ по ресурсам светового климата. Коэффициенты mN и N приведены в ТКП 45-2.04-153-2009. 16 Нормирование совмещенного освещения. Совмещенное освещение, так же как и естественное, нормируют с помощью КЕО (коэффициента естественной освещенности) в зависимости от выполняемого разряда зрительной работы и конструктивного исполнения искусственного освещения (ТКП 45-2.04-153- 2009). Совмещенное освещение оценивается при отключенных источниках искусственного света. 6. Методы расчета производственного освещения С целью оптимизации освещения рабочих мест, создания благоприятных условий труда, повышения работоспособности проводят инженернотехнические мероприятия по расчету и проектированию производственного освещения. Расчет естественного освещения Основной задачей светотехнических расчетов при естественном освещении является определение требуемой площади световых проемов (ТКП 45-2.04- 153-2009). Предварительный расчет площади световых проемов производится: а) при боковом освещении помещений по формуле зд о 1 н з о п o K r e К S S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100 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 ; (16)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б) при верхнем освещении по формуле: о 2 ф н з ф п ф r К e К S S 100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 , (17)</w:t>
      </w:r>
      <w:r>
        <w:rPr>
          <w:rFonts w:ascii="Times New Roman" w:hAnsi="Times New Roman" w:cs="Times New Roman"/>
          <w:sz w:val="28"/>
          <w:szCs w:val="28"/>
        </w:rPr>
        <w:sym w:font="Symbol" w:char="0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4"/>
      </w:r>
      <w:r>
        <w:rPr>
          <w:rFonts w:ascii="Times New Roman" w:hAnsi="Times New Roman" w:cs="Times New Roman"/>
          <w:sz w:val="28"/>
          <w:szCs w:val="28"/>
        </w:rPr>
        <w:t xml:space="preserve"> где So – площадь световых проемов (в свету) при боковом освещении, м 2 ; Sп – площадь пола помещения, м 2 ; н e – нормированное значение КЕО, %; Кз – коэффициент запаса (прил. 5); o</w:t>
      </w:r>
      <w:r>
        <w:rPr>
          <w:rFonts w:ascii="Times New Roman" w:hAnsi="Times New Roman" w:cs="Times New Roman"/>
          <w:sz w:val="28"/>
          <w:szCs w:val="28"/>
        </w:rPr>
        <w:sym w:font="Symbol" w:char="0068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световая характеристика окон (прил. 8); Kзд – коэффициент, учитывающий затенение окон противостоящими.</w:t>
      </w:r>
    </w:p>
    <w:p w:rsidR="00AD6733" w:rsidRDefault="00AD6733" w:rsidP="00AD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733" w:rsidRDefault="00AD6733" w:rsidP="00AD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733" w:rsidRDefault="00AD6733" w:rsidP="00AD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733" w:rsidRDefault="00AD6733" w:rsidP="00AD6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Преподователь__________Ахмедова А.И.</w:t>
      </w:r>
    </w:p>
    <w:p w:rsidR="00000000" w:rsidRDefault="00AD67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6733"/>
    <w:rsid w:val="00A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5034</Words>
  <Characters>28699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2020-12-17T07:12:00Z</dcterms:created>
  <dcterms:modified xsi:type="dcterms:W3CDTF">2020-12-17T07:12:00Z</dcterms:modified>
</cp:coreProperties>
</file>