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D4" w:rsidRPr="007A03BF" w:rsidRDefault="00A674D4" w:rsidP="00A674D4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674D4" w:rsidRPr="007A03BF" w:rsidRDefault="00A674D4" w:rsidP="00A674D4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A674D4" w:rsidRPr="007A03BF" w:rsidRDefault="00A674D4" w:rsidP="00A674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A674D4" w:rsidRPr="007A03BF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D4" w:rsidRPr="007A03BF" w:rsidRDefault="00A674D4" w:rsidP="00A6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развития литературы в начале XX века</w:t>
      </w:r>
    </w:p>
    <w:p w:rsidR="00A674D4" w:rsidRPr="007A03BF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D4" w:rsidRPr="007A03BF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развития литературы и других видов искусства в начале ХХ века. «Время – интереснейшее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пестротою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противоречий и обилием их». </w:t>
      </w:r>
    </w:p>
    <w:p w:rsidR="00A674D4" w:rsidRPr="00A674D4" w:rsidRDefault="00A674D4" w:rsidP="00A67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Pr="007A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Эпоха, век, столетие… Начало ХХ века… У Александра Блока есть замечательное стихотворение, которое так и называется «Два века». Век девятнадцатый, железный, Воистину жестокий век! Тобою в мрак ночной, беззвездный Беспечный брошен человек! В ночь умозрительных понятий,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Матерьялистских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дел, Бессильных жалоб и проклятий, Бескровных душ и слабых тел! С тобой пришли чуме на смену Неврастения, скука, сплин, Век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расшибанья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лбов о стену, Экономических доктрин, Конгрессов, банков, федераций, Застольных спичей, красных слов, Век акций, рент и облигаций И малодейственных умов.</w:t>
      </w:r>
      <w:r w:rsidRPr="007A0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0EED3" wp14:editId="5256E340">
            <wp:extent cx="3525482" cy="2638425"/>
            <wp:effectExtent l="0" t="0" r="0" b="0"/>
            <wp:docPr id="30" name="Рисунок 30" descr="Особенности развития литературы и других видов искусства в начале ХХ века. «В">
              <a:hlinkClick xmlns:a="http://schemas.openxmlformats.org/drawingml/2006/main" r:id="rId4" tooltip="&quot;Особенности развития литературы и других видов искусства в начале ХХ века. «В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ости развития литературы и других видов искусства в начале ХХ века. «В">
                      <a:hlinkClick r:id="rId4" tooltip="&quot;Особенности развития литературы и других видов искусства в начале ХХ века. «В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14" cy="264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Двадцатый век… еще бездомней, Еще страшнее жизни мгла (Еще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чернее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огромней Тень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Люцеферова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крыла). Сознанье страшное обмана Всех прежних малых дум и вер, И первый взлет аэроплана В пустыню неизвестных сфер… И отвращение от жизни, И к ней безумная любовь, И страсть и ненависть к отчизне… И черная, земная кровь Сулит нам, раздувая вены, Все разрушая рубежи, Неслыханные перемены, Невиданные мятежи…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эпоха – основная проблема искусства. Понять законы развития человеческой личности невозможно без знания особенностей той </w:t>
      </w: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исторической обстановки, в которой человек существует. СОЦИАЛЬНО –ЭКОНОМИЧЕСКОЕ И ПОЛИТИЧЕСКОЕ РАЗВИТИЕ РОССИИ НАЧАЛА ХХ ВЕКА. Начало ХХ века – время правления императора Николая II, вступившего на престол в 1894 году. Россия в это время была страной со средним уровнем развития капитализма. Отмена крепостного права в 1861 году, реформы 60-70 годов не прошли бесследно; капиталистическая промышленность росла высокими темпами (первое место в мире), появились новые отрасли.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8FCD8" wp14:editId="72E8C834">
            <wp:extent cx="3690938" cy="2762250"/>
            <wp:effectExtent l="0" t="0" r="5080" b="0"/>
            <wp:docPr id="26" name="Рисунок 26" descr="Возникли крупные банки, связанные с промышленностью. Финансовая система посл">
              <a:hlinkClick xmlns:a="http://schemas.openxmlformats.org/drawingml/2006/main" r:id="rId6" tooltip="&quot;Возникли крупные банки, связанные с промышленностью. Финансовая система посл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никли крупные банки, связанные с промышленностью. Финансовая система посл">
                      <a:hlinkClick r:id="rId6" tooltip="&quot;Возникли крупные банки, связанные с промышленностью. Финансовая система посл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50" cy="276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 крупные банки, связанные с промышленностью. Финансовая система после проведенной в 1897 году министром финансов С.Ю. Витте реформы была одной из самых устойчивых в мире. Железные дороги связали Центр с окраинами и стимулировали развитие страны. Россия вошла в пятерку наиболее развитых промышленных стран. Но высокие количественные показатели сочетались с довольно низкими качественными. Низкой была производительность труда. Развитие экономики было крайне неравномерным по отраслям и районам страны.</w:t>
      </w:r>
    </w:p>
    <w:p w:rsidR="00A674D4" w:rsidRPr="007A03BF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Чрезвычайную остроту приобрел в начале ХХ века аграрный вопрос. Историки называют сельское хозяйство ахиллесовой пятой тогдашней России. Экономическая модернизация начала оказывать некоторое влияние на социальную структуру страны.</w:t>
      </w:r>
    </w:p>
    <w:p w:rsidR="00A674D4" w:rsidRPr="007A03BF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СТРУКТУРА РОССИИ В НАЧАЛЕ ХХ ВЕКА. Дворянство (1% населения) оставалось привилегированным, политически господствующим сословием, но его положение постепенно ухудшалось. Оскудение дворянских усадеб, с сочувствием описанное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И.А.Буниным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А.П.Чеховым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примечательным явлением эпохи.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5555A5" wp14:editId="4FC3845D">
            <wp:extent cx="3429000" cy="2566219"/>
            <wp:effectExtent l="0" t="0" r="0" b="5715"/>
            <wp:docPr id="23" name="Рисунок 23" descr="Буржуазия, приобретавшая серьезное экономическое значение, не была единой. Ро">
              <a:hlinkClick xmlns:a="http://schemas.openxmlformats.org/drawingml/2006/main" r:id="rId8" tooltip="&quot;Буржуазия, приобретавшая серьезное экономическое значение, не была единой. Ро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ржуазия, приобретавшая серьезное экономическое значение, не была единой. Ро">
                      <a:hlinkClick r:id="rId8" tooltip="&quot;Буржуазия, приобретавшая серьезное экономическое значение, не была единой. Ро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458" cy="25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Буржуазия, приобретавшая серьезное экономическое значение, не была единой. Росла новая петербургская буржуазия, тесно связанная с государством, банками и передовыми отраслями промышленности.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80% населения страны составляло крестьянство, страдавшее от малоземелья.</w:t>
      </w:r>
    </w:p>
    <w:p w:rsidR="00A674D4" w:rsidRPr="007A03BF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рабочего класса (менее 10% населения) в начале ХХ века было тяжелым. Длинный рабочий день, плохие бытовые условия, низкая зарплата, бесправие – таковы причины, вызывавшие недовольство рабочих. Особыми социальными группами являлись чиновничество, духовенство и интеллигенция. К началу ХХ века модернизация практически не затронула политическую сферу. Россия оставалась самодержавной (абсолютной) монархией.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9D36E" wp14:editId="65F0EF29">
            <wp:extent cx="4772764" cy="3571875"/>
            <wp:effectExtent l="0" t="0" r="8890" b="0"/>
            <wp:docPr id="20" name="Рисунок 20" descr="Вступая в ХХ век, Россия менялась. Реальностью стали свобода слова, печати,">
              <a:hlinkClick xmlns:a="http://schemas.openxmlformats.org/drawingml/2006/main" r:id="rId10" tooltip="&quot;Вступая в ХХ век, Россия менялась. Реальностью стали свобода слова, печати,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ступая в ХХ век, Россия менялась. Реальностью стали свобода слова, печати,">
                      <a:hlinkClick r:id="rId10" tooltip="&quot;Вступая в ХХ век, Россия менялась. Реальностью стали свобода слова, печати,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29" cy="357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Вступая в ХХ век, Россия менялась. Реальностью стали свобода слова, печати, собраний, деятельности политических партий. Потрясением и предупреждением обществу и власти явилась революция 1905 – 1907 годов.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ничего удивительного в том, что начало века принесло России необыкновенный расцвет культуры – героический и трагический одновременно. Заметные изменения происходили в системе образования. Всерьез обсуждалась ликвидация безграмотности, введение всеобщего начального образования. Важную просветительскую роль играли печать и книгоиздательское дело. Открытия русских ученых имели мировое значение. Лауреатами Нобелевской премии стали Иван Павлов и Илья Мечников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художественной культуре начала ХХ века – буйное разнообразие стилей, направлений, идей, методов. Золотой век русской культуры, пережитый в ХIХ веке, сменяется ее Серебряным веком, новым его расцветом. Еще звучит голос корифея русской реалистической литературы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обсуждаются последние пьесы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(«Чайка», «Дядя Ваня», «Вишневый сад»), по – прежнему авторитетно мнение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В.Г.Короленко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Читающая публика увлечена романтическими рассказами М. Горького и потрясена его пьесой «На дне». Популярны А. Куприн («Поединок», «Гра</w:t>
      </w:r>
      <w:r w:rsidRPr="007A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натовый браслет»), </w:t>
      </w:r>
      <w:proofErr w:type="spellStart"/>
      <w:r w:rsidRPr="007A03B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Л.Андреев</w:t>
      </w:r>
      <w:proofErr w:type="spellEnd"/>
      <w:r w:rsidRPr="007A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человека», «Царь – Голод»), печалится об участи дворянских усадеб И. Бунин.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3EDAE" wp14:editId="02921ABC">
            <wp:extent cx="4683672" cy="3505200"/>
            <wp:effectExtent l="0" t="0" r="3175" b="0"/>
            <wp:docPr id="16" name="Рисунок 16" descr="В поэзии торжествуют декаденты – символисты А. Блок, К.Бальмонт, В. Брюсов, а">
              <a:hlinkClick xmlns:a="http://schemas.openxmlformats.org/drawingml/2006/main" r:id="rId12" tooltip="&quot;В поэзии торжествуют декаденты – символисты А. Блок, К.Бальмонт, В. Брюсов, 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 поэзии торжествуют декаденты – символисты А. Блок, К.Бальмонт, В. Брюсов, а">
                      <a:hlinkClick r:id="rId12" tooltip="&quot;В поэзии торжествуют декаденты – символисты А. Блок, К.Бальмонт, В. Брюсов, 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052" cy="351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поэзии торжествуют декаденты – символисты А. Блок,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К.Бальмонт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Брюсов, акмеисты Н. Гумилев, А. Ахматова, футуристы В. Маяковский, В. Хлебников. Они критикуют реализм за социальность, натурализм, рабское следование действительности и стремление ее отображать, не преобразуя.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Нечто подобное происходит и в живописи. Почитают реалистов И. Репина, В. Сурикова, братьев </w:t>
      </w:r>
      <w:proofErr w:type="gram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Васнецовых ,</w:t>
      </w:r>
      <w:proofErr w:type="gram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охотно посещают кажущиеся </w:t>
      </w: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скандальными выставки «Мира искусства» (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А.Бенуа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Коровин) и «Бубнового валета» (П. Кончаловский,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Р.Фальк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74D4" w:rsidRPr="007A03BF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музыке продолжает работать Н. Римский – Корсаков (оперы «Сказка о царе </w:t>
      </w:r>
      <w:proofErr w:type="spellStart"/>
      <w:proofErr w:type="gram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«Золотой петушок»), учивший А. Глазунова и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И.Стравинского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(балет «Петрушка»). Новыми художественными открытиями являются для России музыка молодого С. Рахманинова и произведения А. Скрябина.</w:t>
      </w:r>
    </w:p>
    <w:p w:rsidR="00A674D4" w:rsidRPr="007A03BF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Переживает расцвет русский реалистический театр. Всемирную славу получает система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К.С.Станиславского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создавшего вместе с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В.И.Немировичем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Данченко Московский </w:t>
      </w:r>
    </w:p>
    <w:p w:rsidR="00A674D4" w:rsidRPr="007A03BF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театр.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сцену приходят великие театральные реформаторы Всеволод Мейерхольд и Евгений Вахтангов. Блистают певец Федор Шаляпин, артистка балета Анна Павлова.</w:t>
      </w:r>
    </w:p>
    <w:p w:rsidR="00A674D4" w:rsidRPr="00A674D4" w:rsidRDefault="00A674D4" w:rsidP="00A6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немых кинофильмах снимаются Вера Холодная и Иван </w:t>
      </w:r>
      <w:proofErr w:type="spellStart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Мозжухин</w:t>
      </w:r>
      <w:proofErr w:type="spellEnd"/>
      <w:r w:rsidRPr="00A674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Париже с 1907 года проходят знаменитые Русские сезоны. Парижанам предлагают выставки русской живописи, музыка, балет. Восторг вызывает «Умирающий лебедь» в исполнении Анны Павловой.</w:t>
      </w:r>
    </w:p>
    <w:p w:rsidR="00AB615D" w:rsidRDefault="00AB615D"/>
    <w:p w:rsidR="00DC7C62" w:rsidRDefault="00A674D4" w:rsidP="00DC7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D4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DC7C62" w:rsidRPr="00DC7C62" w:rsidRDefault="00DC7C62" w:rsidP="00DC7C62">
      <w:pPr>
        <w:spacing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C7C62">
        <w:rPr>
          <w:rFonts w:ascii="Times New Roman" w:hAnsi="Times New Roman" w:cs="Times New Roman"/>
          <w:sz w:val="28"/>
          <w:szCs w:val="28"/>
        </w:rPr>
        <w:t xml:space="preserve">- </w:t>
      </w:r>
      <w:r w:rsidR="007A03BF" w:rsidRPr="00DC7C62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Каков смысл определения «серебряный век»?</w:t>
      </w:r>
    </w:p>
    <w:p w:rsidR="00DC7C62" w:rsidRDefault="007A03BF" w:rsidP="00DC7C62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C7C62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Какие традиции классики восприняла реалистическая проза нового времени?</w:t>
      </w:r>
    </w:p>
    <w:p w:rsidR="00DC7C62" w:rsidRPr="00DC7C62" w:rsidRDefault="007A03BF" w:rsidP="00DC7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62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В чем состоят особенности литературного героя новой эпохи</w:t>
      </w:r>
    </w:p>
    <w:p w:rsidR="00DC7C62" w:rsidRDefault="007A03BF" w:rsidP="00DC7C6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7C62">
        <w:rPr>
          <w:rStyle w:val="c0"/>
          <w:color w:val="000000"/>
          <w:sz w:val="28"/>
          <w:szCs w:val="28"/>
        </w:rPr>
        <w:t>– Что отличает модернизм от реализма?</w:t>
      </w:r>
    </w:p>
    <w:p w:rsidR="007A03BF" w:rsidRPr="00DC7C62" w:rsidRDefault="007A03BF" w:rsidP="00DC7C6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7C62">
        <w:rPr>
          <w:rStyle w:val="c0"/>
          <w:color w:val="000000"/>
          <w:sz w:val="28"/>
          <w:szCs w:val="28"/>
        </w:rPr>
        <w:t>– Что сближает разные течения модернизма?</w:t>
      </w:r>
    </w:p>
    <w:p w:rsidR="007A03BF" w:rsidRDefault="007A03BF" w:rsidP="00DC7C6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C7C62">
        <w:rPr>
          <w:rStyle w:val="c0"/>
          <w:color w:val="000000"/>
          <w:sz w:val="28"/>
          <w:szCs w:val="28"/>
        </w:rPr>
        <w:t>– Каковы особенности прозы начала века?</w:t>
      </w:r>
    </w:p>
    <w:p w:rsidR="00DC7C62" w:rsidRDefault="00DC7C62" w:rsidP="00DC7C6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C7C62" w:rsidRPr="00DC7C62" w:rsidRDefault="00DC7C62" w:rsidP="00DC7C6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Преподаватель Э.З. </w:t>
      </w:r>
      <w:proofErr w:type="spellStart"/>
      <w:r>
        <w:rPr>
          <w:rStyle w:val="c0"/>
          <w:color w:val="000000"/>
          <w:sz w:val="28"/>
          <w:szCs w:val="28"/>
        </w:rPr>
        <w:t>Торхашева</w:t>
      </w:r>
      <w:bookmarkStart w:id="0" w:name="_GoBack"/>
      <w:bookmarkEnd w:id="0"/>
      <w:proofErr w:type="spellEnd"/>
    </w:p>
    <w:p w:rsidR="007A03BF" w:rsidRPr="00DC7C62" w:rsidRDefault="007A03BF" w:rsidP="00DC7C6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674D4" w:rsidRPr="00A674D4" w:rsidRDefault="00A674D4" w:rsidP="00A67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74D4" w:rsidRPr="00A6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4"/>
    <w:rsid w:val="007A03BF"/>
    <w:rsid w:val="00A674D4"/>
    <w:rsid w:val="00AB615D"/>
    <w:rsid w:val="00D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4C07C-8DA5-4DC2-977C-E3B9DD2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4D4"/>
    <w:rPr>
      <w:b/>
      <w:bCs/>
    </w:rPr>
  </w:style>
  <w:style w:type="paragraph" w:customStyle="1" w:styleId="a-txt">
    <w:name w:val="a-txt"/>
    <w:basedOn w:val="a"/>
    <w:rsid w:val="00A6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A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6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952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3426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49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1507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017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060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85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9279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69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163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41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3533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3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133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701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5587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80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9877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63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703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04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403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500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1157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70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829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0957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7482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35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3004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461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406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82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9818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32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756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672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8552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318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376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27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0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505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001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287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493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26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789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18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7692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37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44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668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715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48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5436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470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1961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373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a71/00182650-d8556a79/1/img7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ds04.infourok.ru/uploads/ex/0a71/00182650-d8556a79/1/img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04.infourok.ru/uploads/ex/0a71/00182650-d8556a79/1/img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s04.infourok.ru/uploads/ex/0a71/00182650-d8556a79/1/img10.jpg" TargetMode="External"/><Relationship Id="rId4" Type="http://schemas.openxmlformats.org/officeDocument/2006/relationships/hyperlink" Target="https://ds04.infourok.ru/uploads/ex/0a71/00182650-d8556a79/1/img0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2021-01-12T05:21:00Z</dcterms:created>
  <dcterms:modified xsi:type="dcterms:W3CDTF">2021-01-12T05:35:00Z</dcterms:modified>
</cp:coreProperties>
</file>